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240" w:lineRule="auto"/>
      </w:pPr>
    </w:p>
    <w:tbl>
      <w:tblPr>
        <w:tblStyle w:val="15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</w:tcPr>
          <w:p>
            <w:pPr>
              <w:pStyle w:val="3"/>
              <w:spacing w:after="0" w:line="240" w:lineRule="auto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 w:type="textWrapping"/>
            </w:r>
            <w:r>
              <w:rPr>
                <w:b/>
              </w:rPr>
              <w:t>Teléfono</w:t>
            </w:r>
            <w:r>
              <w:t>: (809) 362-1111</w:t>
            </w:r>
            <w:r>
              <w:br w:type="textWrapping"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eastAsia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 w:type="textWrapping"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>
      <w:pPr>
        <w:pStyle w:val="3"/>
        <w:spacing w:after="0" w:line="240" w:lineRule="auto"/>
        <w:rPr>
          <w:b/>
        </w:rPr>
      </w:pPr>
    </w:p>
    <w:tbl>
      <w:tblPr>
        <w:tblStyle w:val="16"/>
        <w:tblW w:w="110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3"/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r>
              <w:fldChar w:fldCharType="begin"/>
            </w:r>
            <w:r>
              <w:instrText xml:space="preserve"> HYPERLINK "http://agn.gob.do/transparencia/index.php" \h </w:instrText>
            </w:r>
            <w:r>
              <w:fldChar w:fldCharType="separate"/>
            </w:r>
            <w:r>
              <w:rPr>
                <w:color w:val="0000FF"/>
                <w:u w:val="single"/>
                <w:lang w:val="en-US"/>
              </w:rPr>
              <w:t>http://agn.gob.do/transparencia/index.php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5508" w:type="dxa"/>
          </w:tcPr>
          <w:p>
            <w:pPr>
              <w:pStyle w:val="3"/>
              <w:spacing w:after="0" w:line="240" w:lineRule="auto"/>
            </w:pPr>
            <w:r>
              <w:rPr>
                <w:b/>
                <w:lang w:val="es-DO"/>
              </w:rPr>
              <w:t>Julio</w:t>
            </w:r>
            <w:r>
              <w:rPr>
                <w:b/>
              </w:rPr>
              <w:t xml:space="preserve"> 2020</w:t>
            </w:r>
          </w:p>
        </w:tc>
      </w:tr>
    </w:tbl>
    <w:p>
      <w:pPr>
        <w:pStyle w:val="3"/>
        <w:spacing w:after="0"/>
        <w:rPr>
          <w:b/>
          <w:sz w:val="24"/>
          <w:szCs w:val="24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17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7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after="0" w:line="240" w:lineRule="auto"/>
              <w:ind w:left="720" w:hanging="720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543" w:type="dxa"/>
          </w:tcPr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</w:p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</w:p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18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"http://agn.gob.do/transparencia/index.php/base-legal/leyes?download=33:481-08-ley-general-de-archivos"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http://agn.gob.do/transparencia/index.php/base-legal/leyes?download=33:481-08-ley-general-de-archivos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1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/>
        <w:rPr>
          <w:b/>
          <w:sz w:val="24"/>
          <w:szCs w:val="24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19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"http://agn.gob.do/transparencia/index.php/base-legal/decretos?download=1079:decreto-129-10"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http://agn.gob.do/transparencia/index.php/base-legal/decretos?download=1079:decreto-129-10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Style w:val="20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"http://agn.gob.do/transparencia/index.php/base-legal/resoluciones?download=1069:resolucion-del-comite-administrador-de-los-medios-web"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http://agn.gob.do/transparencia/index.php/base-legal/resoluciones?download=1069:resolucion-del-comite-administrador-de-los-medios-web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21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98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"http://agn.gob.do/transparencia/index.php/marco-legal-de-transparencia/leyes?download=6:ley-general-de-archivos-481-08"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http://agn.gob.do/transparencia/index.php/marco-legal-de-transparencia/leyes?download=6:ley-general-de-archivos-481-08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"http://agn.gob.do/transparencia/index.php/marco-legal-de-transparencia/leyes?download=4:ley-de-funcion-publica-41-08"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http://agn.gob.do/transparencia/index.php/marco-legal-de-transparencia/leyes?download=4:ley-de-funcion-publica-41-08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"http://agn.gob.do/transparencia/index.php/marco-legal-de-transparencia/leyes?download=8:ley-13-07"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http://agn.gob.do/transparencia/index.php/marco-legal-de-transparencia/leyes?download=8:ley-13-07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"http://agn.gob.do/transparencia/index.php/marco-legal-de-transparencia/leyes?download=1074:ley-no-10-07-sobre-sistema-nacional-de-control-interno"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http://agn.gob.do/transparencia/index.php/marco-legal-de-transparencia/leyes?download=1074:ley-no-10-07-sobre-sistema-nacional-de-control-interno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"http://agn.gob.do/transparencia/index.php/marco-legal-de-transparencia/leyes?download=1075:ley-no-5-07-administracion-financiera"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http://agn.gob.do/transparencia/index.php/marco-legal-de-transparencia/leyes?download=1075:ley-no-5-07-administracion-financiera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"http://agn.gob.do/transparencia/index.php/marco-legal-de-transparencia/leyes?download=1076:ley-no-498-06-planificacion-e-inversion-publica"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http://agn.gob.do/transparencia/index.php/marco-legal-de-transparencia/leyes?download=1076:ley-no-498-06-planificacion-e-inversion-publica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"http://agn.gob.do/transparencia/index.php/marco-legal-de-transparencia/leyes?download=1278:ley-423-06-organica-de-presupuesto-para-el-sector-publico-de-fecha-noviembre-2006"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http://agn.gob.do/transparencia/index.php/marco-legal-de-transparencia/leyes?download=1278:ley-423-06-organica-de-presupuesto-para-el-sector-publico-de-fecha-noviembre-2006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"http://agn.gob.do/transparencia/index.php/marco-legal-de-transparencia/leyes?download=9:ley-340-06-y-449-06"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http://agn.gob.do/transparencia/index.php/marco-legal-de-transparencia/leyes?download=9:ley-340-06-y-449-06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"http://agn.gob.do/transparencia/index.php/marco-legal-de-transparencia/leyes?download=1078:ley-no-10-04-camara-de-cuentas-de-la-republica-dominicana"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http://agn.gob.do/transparencia/index.php/marco-legal-de-transparencia/leyes?download=1078:ley-no-10-04-camara-de-cuentas-de-la-republica-dominicana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"http://agn.gob.do/transparencia/index.php/marco-legal-de-transparencia/leyes?download=1073:ley-no-200-04-libre-acceso-a-la-informacion-publica-y-reglamentacion-complementaria-de-fecha-de-28-de-julio-2004"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http://agn.gob.do/transparencia/index.php/marco-legal-de-transparencia/leyes?download=1073:ley-no-200-04-libre-acceso-a-la-informacion-publica-y-reglamentacion-complementaria-de-fecha-de-28-de-julio-2004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"http://agn.gob.do/transparencia/index.php/marco-legal-de-transparencia/leyes?download=1035:ley-no-126-01-direccion-general-de-contabilidad-gubernamental"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http://agn.gob.do/transparencia/index.php/marco-legal-de-transparencia/leyes?download=1035:ley-no-126-01-direccion-general-de-contabilidad-gubernamental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22"/>
        <w:tblW w:w="136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1287"/>
        <w:gridCol w:w="6006"/>
        <w:gridCol w:w="1544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</w:pP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"http://agn.gob.do/transparencia/index.php/marco-legal-de-transparencia/decretos?download=1053:decreto-143-17-comisiones-de-etica-publica"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http://agn.gob.do/transparencia/index.php/marco-legal-de-transparencia/decretos?download=1053:decreto-143-17-comisiones-de-etica-publica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"http://agn.gob.do/transparencia/index.php/marco-legal-de-transparencia/decretos?download=29:decreto-543-12"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http://agn.gob.do/transparencia/index.php/marco-legal-de-transparencia/decretos?download=29:decreto-543-12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"http://agn.gob.do/transparencia/index.php/marco-legal-de-transparencia/decretos?download=28:decreto-486-12"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http://agn.gob.do/transparencia/index.php/marco-legal-de-transparencia/decretos?download=28:decreto-486-12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"http://agn.gob.do/transparencia/index.php/marco-legal-de-transparencia/decretos?download=15:decreto-129-10"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http://agn.gob.do/transparencia/index.php/marco-legal-de-transparencia/decretos?download=15:decreto-129-10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"http://agn.gob.do/transparencia/index.php/marco-legal-de-transparencia/decretos?download=26:decreto-694-09"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http://agn.gob.do/transparencia/index.php/marco-legal-de-transparencia/decretos?download=26:decreto-694-09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"http://agn.gob.do/transparencia/index.php/marco-legal-de-transparencia/decretos?download=24:decreto-527-09"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http://agn.gob.do/transparencia/index.php/marco-legal-de-transparencia/decretos?download=24:decreto-527-09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"http://agn.gob.do/transparencia/index.php/marco-legal-de-transparencia/decretos?download=23:decreto-525-09"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http://agn.gob.do/transparencia/index.php/marco-legal-de-transparencia/decretos?download=23:decreto-525-09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"http://agn.gob.do/transparencia/index.php/marco-legal-de-transparencia/decretos?download=22:decreto-524-09"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http://agn.gob.do/transparencia/index.php/marco-legal-de-transparencia/decretos?download=22:decreto-524-09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"http://agn.gob.do/transparencia/index.php/marco-legal-de-transparencia/decretos?download=25:decreto-528-09"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http://agn.gob.do/transparencia/index.php/marco-legal-de-transparencia/decretos?download=25:decreto-528-09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"http://agn.gob.do/transparencia/index.php/marco-legal-de-transparencia/decretos?download=20:decreto-491-07"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http://agn.gob.do/transparencia/index.php/marco-legal-de-transparencia/decretos?download=20:decreto-491-07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"http://agn.gob.do/transparencia/index.php/marco-legal-de-transparencia/decretos?download=27:decreto-441-06"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http://agn.gob.do/transparencia/index.php/marco-legal-de-transparencia/decretos?download=27:decreto-441-06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"http://agn.gob.do/transparencia/index.php/marco-legal-de-transparencia/decretos?download=1114:decreto-130-05"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http://agn.gob.do/transparencia/index.php/marco-legal-de-transparencia/decretos?download=1114:decreto-130-05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b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23"/>
        <w:tblW w:w="13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5959"/>
        <w:gridCol w:w="155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1F497D"/>
          </w:tcPr>
          <w:p>
            <w:pPr>
              <w:pStyle w:val="3"/>
              <w:spacing w:after="0"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24"/>
        <w:tblW w:w="13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051"/>
        <w:gridCol w:w="6484"/>
        <w:gridCol w:w="155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>
            <w:pPr>
              <w:pStyle w:val="3"/>
              <w:spacing w:after="0" w:line="240" w:lineRule="auto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25"/>
        <w:tblW w:w="13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321"/>
        <w:gridCol w:w="6214"/>
        <w:gridCol w:w="155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Derechos de los ciudadanos al acceso a la información pública</w:t>
            </w:r>
          </w:p>
        </w:tc>
        <w:tc>
          <w:tcPr>
            <w:tcW w:w="1321" w:type="dxa"/>
          </w:tcPr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>
            <w:pPr>
              <w:pStyle w:val="3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jc w:val="center"/>
            </w:pPr>
          </w:p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701" w:type="dxa"/>
          </w:tcPr>
          <w:p>
            <w:pPr>
              <w:pStyle w:val="3"/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26"/>
        <w:tblW w:w="13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276"/>
        <w:gridCol w:w="6237"/>
        <w:gridCol w:w="1544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Oficina de Libre Acceso a la Información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"http://agn.gob.do/transparencia/index.php/oai/estructura-organizacional-de-la-oai"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http://agn.gob.do/transparencia/index.php/oai/estructura-organizacional-de-la-oai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Manual de organización de la OAI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"http://agn.gob.do/transparencia/index.php/oai/manual-de-organizacion-de-la-oai"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http://agn.gob.do/transparencia/index.php/oai/manual-de-organizacion-de-la-oai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Manual de Procedimiento de la OAI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"http://agn.gob.do/transparencia/index.php/oai/manual-de-procedimientos-de-la-oai"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http://agn.gob.do/transparencia/index.php/oai/manual-de-procedimientos-de-la-oai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Estadísticas y balances de gestión OAI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"http://agn.gob.do/transparencia/index.php/oai/estadisticas-y-balances-de-la-gestion-oai"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http://agn.gob.do/transparencia/index.php/oai/estadisticas-y-balances-de-la-gestion-oai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"http://agn.gob.do/transparencia/index.php/oai/nombre-del-responsable-de-la-oai-y-medios-para-contactarlo"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http://agn.gob.do/transparencia/index.php/oai/nombre-del-responsable-de-la-oai-y-medios-para-contactarlo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Información clasificada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"http://agn.gob.do/transparencia/index.php/oai/acto-administrativo-o-resolucion-de-clasificacion-de-la-informacion"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http://agn.gob.do/transparencia/index.php/oai/acto-administrativo-o-resolucion-de-clasificacion-de-la-informacion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No * No contamos con el documento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Índice de documentos disponibles para la entrega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"http://agn.gob.do/transparencia/index.php/oai/indice-de-documentos"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http://agn.gob.do/transparencia/index.php/oai/indice-de-documentos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jc w:val="both"/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Formulario de solicitud de información pública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"https://www.saip.gob.do/apps/sip/?step=two"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https://www.saip.gob.do/apps/sip/?step=two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Solicitud de Información Pública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"https://www.saip.gob.do/apps/sip/?step=one"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https://www.saip.gob.do/apps/sip/?step=one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 xml:space="preserve">Índice de Transparencia Estandarizado 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"http://agn.gob.do/transparencia/index.php/oai/indice-de-transparencia-estandarizado"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http://agn.gob.do/transparencia/index.php/oai/indice-de-transparencia-estandarizado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27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92"/>
        <w:gridCol w:w="6243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"http://digeig.gob.do/web/es/transparencia/plan-estrategico-de-la-institucion/planificacion-estrategica-1/"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Planificación estratégica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292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"http://agn.gob.do/transparencia/index.php/plan-estrategico/planeacion-estrategica"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http://agn.gob.do/transparencia/index.php/plan-estrategico/planeacion-estrategica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"http://digeig.gob.do/web/es/transparencia/plan-estrategico-de-la-institucion/informes-de-logros-y-o-seguimiento-del-plan-estrategico/"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Informes de logros y/o seguimiento del Plan estratégico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292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"http://agn.gob.do/transparencia/index.php/plan-estrategico/informes"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http://agn.gob.do/transparencia/index.php/plan-estrategico/informes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</w:p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28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"http://agn.gob.do/transparencia/index.php/publicaciones-t"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http://agn.gob.do/transparencia/index.php/publicaciones-t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"http://agn.gob.do/transparencia/index.php/publicaciones-t"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http://agn.gob.do/transparencia/index.php/publicaciones-t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"http://agn.gob.do/transparencia/index.php/publicaciones-t"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http://agn.gob.do/transparencia/index.php/publicaciones-t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29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"http://agn.gob.do/transparencia/index.php/estadisticas"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http://agn.gob.do/transparencia/index.php/estadisticas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"http://agn.gob.do/transparencia/index.php/estadisticas"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http://agn.gob.do/transparencia/index.php/estadisticas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"http://agn.gob.do/transparencia/index.php/estadisticas"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http://agn.gob.do/transparencia/index.php/estadisticas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36"/>
          <w:szCs w:val="36"/>
        </w:rPr>
      </w:pPr>
    </w:p>
    <w:p>
      <w:pPr>
        <w:pStyle w:val="3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30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Tahoma" w:hAnsi="Tahoma" w:eastAsia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"http://www.311.gob.do/servicios/linea-311/denuncia/"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http://www.311.gob.do/servicios/linea-311/denuncia/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Oficina de Acceso a la Información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"http://agn.gob.do/index.php/servicios"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http://agn.gob.do/index.php/servicios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31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"http://www.311.gob.do/"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http://www.311.gob.do/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Estadística Trimestral Sistema 311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"http://agn.gob.do/transparencia/index.php/acceso-al-311/estadistica-trimestral-sistema-311"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http://agn.gob.do/transparencia/index.php/acceso-al-311/estadistica-trimestral-sistema-311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32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"http://agn.gob.do/transparencia/pdf/declaracin%20jurada-subdirector%20general.pdf" \h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Declaración Jurada Subdirectora General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33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411"/>
        <w:gridCol w:w="612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"http://digeig.gob.do/web/es/transparencia/presupuesto/presupuesto-aprobado-del-ano/"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Presupuesto aprobado del año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41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"http://agn.gob.do/transparencia/index.php/presupuesto/category/354-presupuesto-aprobado-del-ano"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http://agn.gob.do/transparencia/index.php/presupuesto/category/354-presupuesto-aprobado-del-ano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"http://digeig.gob.do/web/es/transparencia/presupuesto/ejecucion-del-presupuesto/"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Ejecución del presupuesto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41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"http://agn.gob.do/transparencia/index.php/presupuesto/category/355-ejecucion-del-presupuesto"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http://agn.gob.do/transparencia/index.php/presupuesto/category/355-ejecucion-del-presupuesto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34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Nómina de empleados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"http://agn.gob.do/transparencia/index.php/recursos-humanos/nomina"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http://agn.gob.do/transparencia/index.php/recursos-humanos/nomina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0" w:line="240" w:lineRule="auto"/>
              <w:rPr>
                <w:b/>
              </w:rPr>
            </w:pPr>
          </w:p>
          <w:p>
            <w:pPr>
              <w:pStyle w:val="3"/>
              <w:shd w:val="clear" w:color="auto" w:fill="FFFFFF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Jubilaciones, Pensiones y retiros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6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"http://agn.gob.do/transparencia/index.php/recursos-humanos/jubilaciones-pensiones-y-retiros"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http://agn.gob.do/transparencia/index.php/recursos-humanos/jubilaciones-pensiones-y-retiros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60" w:line="240" w:lineRule="auto"/>
              <w:rPr>
                <w:b/>
              </w:rPr>
            </w:pPr>
          </w:p>
          <w:p>
            <w:pPr>
              <w:pStyle w:val="3"/>
              <w:shd w:val="clear" w:color="auto" w:fill="FFFFFF"/>
              <w:spacing w:after="60" w:line="240" w:lineRule="auto"/>
              <w:rPr>
                <w:b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"http://digeig.gob.do/web/es/transparencia/recursos-humanos-1/vacantes-1/"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Vacantes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hAnsi="Arial" w:eastAsia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"https://map.gob.do/Concursa/plazasvacantes.aspx"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https://map.gob.do/Concursa/plazasvacantes.aspx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35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color w:val="333333"/>
                <w:sz w:val="18"/>
                <w:szCs w:val="18"/>
                <w:highlight w:val="white"/>
              </w:rPr>
              <w:t> </w:t>
            </w:r>
            <w:r>
              <w:fldChar w:fldCharType="begin"/>
            </w:r>
            <w:r>
              <w:instrText xml:space="preserve"> HYPERLINK "http://digeig.gob.do/web/es/transparencia/beneficiarios-de-programas-asistenciales/"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Beneficiarios de programas asistenciales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"http://agn.gob.do/transparencia/index.php/beneficiarios"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http://agn.gob.do/transparencia/index.php/beneficiarios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36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"https://acceso.comprasdominicana.gov.do/compras/proveedores/consulta/consulta.jsp"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https://acceso.comprasdominicana.gov.do/compras/proveedores/consulta/consulta.jsp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37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"http://comprasdominicana.gov.do/web/guest/portada"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http://comprasdominicana.gov.do/web/guest/portada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"https://acceso.comprasdominicana.gov.do/compras/proveedores/consulta/consulta.jsp"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https://acceso.comprasdominicana.gov.do/compras/proveedores/consulta/consulta.jsp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"http://agn.gob.do/transparencia/index.php/compras-y-contrataciones/plan-anual-de-compras"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http://agn.gob.do/transparencia/index.php/compras-y-contrataciones/plan-anual-de-compras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sz w:val="18"/>
                <w:szCs w:val="18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"http://digeig.gob.do/web/es/transparencia/compras-y-contrataciones-1/licitaciones-publicas/"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Licitaciones Publicas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6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"http://agn.gob.do/transparencia/index.php/compras-y-contrataciones/licitaciones-publicas"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http://agn.gob.do/transparencia/index.php/compras-y-contrataciones/licitaciones-publicas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6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"http://digeig.gob.do/web/es/transparencia/compras-y-contrataciones-1/licitaciones-restringidas/"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Licitaciones restringidas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"http://agn.gob.do/transparencia/index.php/compras-y-contrataciones/licitaciones-restringidas"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http://agn.gob.do/transparencia/index.php/compras-y-contrataciones/licitaciones-restringidas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"http://digeig.gob.do/web/es/transparencia/compras-y-contrataciones-1/sorteos-de-obras/"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Sorteos de Obras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"http://agn.gob.do/transparencia/index.php/compras-y-contrataciones/sorteos-de-obras"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http://agn.gob.do/transparencia/index.php/compras-y-contrataciones/sorteos-de-obras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"http://digeig.gob.do/web/es/transparencia/compras-y-contrataciones-1/comparaciones-de-precios/"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Comparaciones de precios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"http://agn.gob.do/transparencia/index.php/compras-y-contrataciones/comparaciones-de-precios"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http://agn.gob.do/transparencia/index.php/compras-y-contrataciones/comparaciones-de-precios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"http://agn.gob.do/transparencia/index.php/compras-y-contrataciones/compras-menores"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http://agn.gob.do/transparencia/index.php/compras-y-contrataciones/compras-menores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"http://agn.gob.do/transparencia/index.php/compras-y-contrataciones/relacion-de-compra-por-debajo-del-umbral"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http://agn.gob.do/transparencia/index.php/compras-y-contrataciones/relacion-de-compra-por-debajo-del-umbral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"http://agn.gob.do/transparencia/index.php/compras-y-contrataciones/casos-de-emergencia-y-urgencias"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http://agn.gob.do/transparencia/index.php/compras-y-contrataciones/casos-de-emergencia-y-urgencias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"http://agn.gob.do/transparencia/index.php/compras-y-contrataciones/casos-de-urgencias"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http://agn.gob.do/transparencia/index.php/compras-y-contrataciones/casos-de-urgencias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"http://agn.gob.do/transparencia/index.php/compras-y-contrataciones/otros-casos-de-excepcion"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http://agn.gob.do/transparencia/index.php/compras-y-contrataciones/otros-casos-de-excepcion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"http://digeig.gob.do/web/es/transparencia/compras-y-contrataciones-1/estado-de-cuentas-de-suplidores/"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Estado de cuentas de suplidores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"http://agn.gob.do/transparencia/index.php/compras-y-contrataciones/estado-de-cuentas-de-suplidores"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http://agn.gob.do/transparencia/index.php/compras-y-contrataciones/estado-de-cuentas-de-suplidores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38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"http://agn.gob.do/transparencia/index.php/proyectos-y-programas/descripcion-de-los-proyectos-y-programas"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http://agn.gob.do/transparencia/index.php/proyectos-y-programas/descripcion-de-los-proyectos-y-programas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"http://agn.gob.do/transparencia/index.php/proyectos-y-programas/informes-de-seguimientos-a-los-programas-y-proyectos"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http://agn.gob.do/transparencia/index.php/proyectos-y-programas/informes-de-seguimientos-a-los-programas-y-proyectos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"http://agn.gob.do/transparencia/index.php/proyectos-y-programas/calendario-de-ejecucion-a-los-programas-y-proyectos"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http://agn.gob.do/transparencia/index.php/proyectos-y-programas/calendario-de-ejecucion-a-los-programas-y-proyectos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"http://agn.gob.do/transparencia/index.php/proyectos-y-programas/informes-de-presupuestos-sobre-programas-y-proyectos"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http://agn.gob.do/transparencia/index.php/proyectos-y-programas/informes-de-presupuestos-sobre-programas-y-proyectos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39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"http://digeig.gob.do/web/es/transparencia/finanzas/estado-de-cuenta-contable/"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Estado de cuenta contable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"http://agn.gob.do/transparencia/index.php/finanzas/balance-general"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http://agn.gob.do/transparencia/index.php/finanzas/balance-general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200" w:line="240" w:lineRule="auto"/>
              <w:ind w:left="720" w:hanging="720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"http://digeig.gob.do/web/es/transparencia/presupuesto/ejecucion-del-presupuesto/"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Ejecución del presupuesto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"http://agn.gob.do/transparencia/index.php/presupuesto"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http://agn.gob.do/transparencia/index.php/presupuesto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"http://digeig.gob.do/web/es/transparencia/finanzas/informes-de-auditorias/"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Informes de auditorias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"http://agn.gob.do/transparencia/index.php/finanzas/informes-de-auditorias"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http://agn.gob.do/transparencia/index.php/finanzas/informes-de-auditorias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"http://digeig.gob.do/web/es/transparencia/finanzas/relacion-de-activos-fijos-de-la-institucion/" \h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Relación de activos fijos de la Institución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"http://agn.gob.do/transparencia/index.php/finanzas/activos-fijos"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http://agn.gob.do/transparencia/index.php/finanzas/activos-fijos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"http://agn.gob.do/transparencia/index.php/finanzas/ingresos-y-egresos/category/441-relacion-de-ingresos-y-egresos"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http://agn.gob.do/transparencia/index.php/finanzas/ingresos-y-egresos/category/441-relacion-de-ingresos-y-egresos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"http://digeig.gob.do/web/es/transparencia/finanzas/relacion-de-inventario-en-almacen/" \h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Relación de inventario en Almacén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"http://agn.gob.do/transparencia/index.php/finanzas/inventario-en-almacen"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http://agn.gob.do/transparencia/index.php/finanzas/inventario-en-almacen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40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576"/>
        <w:gridCol w:w="5959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Actividades</w:t>
            </w:r>
          </w:p>
        </w:tc>
        <w:tc>
          <w:tcPr>
            <w:tcW w:w="15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"http://agn.gob.do/transparencia/index.php/comision-de-etica-publica/actividades" \h </w:instrText>
            </w:r>
            <w:r>
              <w:fldChar w:fldCharType="separate"/>
            </w:r>
            <w:r>
              <w:rPr>
                <w:rFonts w:ascii="Tahoma" w:hAnsi="Tahoma" w:eastAsia="Tahoma" w:cs="Tahoma"/>
                <w:color w:val="0000FF"/>
                <w:sz w:val="18"/>
                <w:szCs w:val="18"/>
                <w:u w:val="single"/>
              </w:rPr>
              <w:t>http://agn.gob.do/transparencia/index.php/comision-de-etica-publica/actividades</w:t>
            </w:r>
            <w:r>
              <w:rPr>
                <w:rFonts w:ascii="Tahoma" w:hAnsi="Tahoma" w:eastAsia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"http://agn.gob.do/transparencia/index.php/comision-de-etica-publica/listado-de-miembros-y-medios-de-contacto"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http://agn.gob.do/transparencia/index.php/comision-de-etica-publica/listado-de-miembros-y-medios-de-contacto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"http://agn.gob.do/transparencia/index.php/comision-de-etica-publica/plan-de-trabajo-de-la-cep"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http://agn.gob.do/transparencia/index.php/comision-de-etica-publica/plan-de-trabajo-de-la-cep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"http://agn.gob.do/transparencia/index.php/comision-de-etica-publica/informes-de-logros-y-seguimiento"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http://agn.gob.do/transparencia/index.php/comision-de-etica-publica/informes-de-logros-y-seguimiento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"http://agn.gob.do/transparencia/index.php/comision-de-etica-publica/codigo-de-pautas-eticas-funcionarios"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http://agn.gob.do/transparencia/index.php/comision-de-etica-publica/codigo-de-pautas-eticas-funcionarios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"http://agn.gob.do/transparencia/index.php/comision-de-etica-publica/codigo-de-etica-archivo-general-de-la-nacion"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http://agn.gob.do/transparencia/index.php/comision-de-etica-publica/codigo-de-etica-archivo-general-de-la-nacion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Julio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rPr>
          <w:b/>
        </w:rPr>
      </w:pPr>
      <w:bookmarkStart w:id="0" w:name="_gjdgxs" w:colFirst="0" w:colLast="0"/>
      <w:bookmarkEnd w:id="0"/>
    </w:p>
    <w:sectPr>
      <w:headerReference r:id="rId3" w:type="default"/>
      <w:pgSz w:w="15840" w:h="12240"/>
      <w:pgMar w:top="1440" w:right="1440" w:bottom="1440" w:left="1440" w:header="284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lang w:val="en-US"/>
      </w:rPr>
      <w:drawing>
        <wp:inline distT="0" distB="0" distL="0" distR="0">
          <wp:extent cx="8037830" cy="1609725"/>
          <wp:effectExtent l="0" t="0" r="0" b="0"/>
          <wp:docPr id="1" name="image1.jpg" descr="C:\Users\tcamacho\Pictures\r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 w:type="textWrapping"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 w:type="textWrapping"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C0080"/>
    <w:rsid w:val="0011634D"/>
    <w:rsid w:val="001E61C4"/>
    <w:rsid w:val="004557ED"/>
    <w:rsid w:val="004C0080"/>
    <w:rsid w:val="00544951"/>
    <w:rsid w:val="006C3D4F"/>
    <w:rsid w:val="00863A5D"/>
    <w:rsid w:val="00907B11"/>
    <w:rsid w:val="00D01BEF"/>
    <w:rsid w:val="00DB450B"/>
    <w:rsid w:val="00EF0238"/>
    <w:rsid w:val="00F77374"/>
    <w:rsid w:val="18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DO" w:eastAsia="en-US" w:bidi="ar-SA"/>
    </w:rPr>
  </w:style>
  <w:style w:type="paragraph" w:styleId="2">
    <w:name w:val="heading 1"/>
    <w:basedOn w:val="3"/>
    <w:next w:val="3"/>
    <w:uiPriority w:val="0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DO" w:eastAsia="en-US" w:bidi="ar-SA"/>
    </w:rPr>
  </w:style>
  <w:style w:type="paragraph" w:styleId="9">
    <w:name w:val="Balloon Text"/>
    <w:basedOn w:val="1"/>
    <w:link w:val="4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4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9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1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2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4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2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29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0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1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2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4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3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3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3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3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Texto de globo Car"/>
    <w:basedOn w:val="12"/>
    <w:link w:val="9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User</Company>
  <Pages>18</Pages>
  <Words>4696</Words>
  <Characters>26773</Characters>
  <Lines>223</Lines>
  <Paragraphs>62</Paragraphs>
  <TotalTime>37</TotalTime>
  <ScaleCrop>false</ScaleCrop>
  <LinksUpToDate>false</LinksUpToDate>
  <CharactersWithSpaces>31407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2019-12-10T14:13:00Z</dcterms:created>
  <dc:creator>Leydi Virginia Escoboza Morfa</dc:creator>
  <cp:lastModifiedBy>Rada</cp:lastModifiedBy>
  <dcterms:modified xsi:type="dcterms:W3CDTF">2020-08-12T12:32:10Z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3082-11.2.0.9629</vt:lpwstr>
  </property>
</Properties>
</file>