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E038BF">
      <w:pPr>
        <w:pBdr>
          <w:bottom w:val="single" w:sz="12" w:space="1" w:color="auto"/>
        </w:pBdr>
        <w:jc w:val="center"/>
        <w:rPr>
          <w:b/>
        </w:rPr>
      </w:pPr>
      <w:r w:rsidRPr="002B00DF">
        <w:rPr>
          <w:b/>
        </w:rPr>
        <w:t xml:space="preserve">Proceso </w:t>
      </w:r>
      <w:bookmarkStart w:id="0" w:name="VB_lnklnkRequestReference"/>
      <w:r w:rsidR="000322E9" w:rsidRPr="000322E9">
        <w:rPr>
          <w:b/>
          <w:highlight w:val="lightGray"/>
        </w:rPr>
        <w:t>AGN-</w:t>
      </w:r>
      <w:r w:rsidR="00D14312">
        <w:rPr>
          <w:b/>
          <w:highlight w:val="lightGray"/>
        </w:rPr>
        <w:t>DAF</w:t>
      </w:r>
      <w:r w:rsidR="000322E9" w:rsidRPr="000322E9">
        <w:rPr>
          <w:b/>
          <w:highlight w:val="lightGray"/>
        </w:rPr>
        <w:t>-C</w:t>
      </w:r>
      <w:r w:rsidR="00D14312">
        <w:rPr>
          <w:b/>
          <w:highlight w:val="lightGray"/>
        </w:rPr>
        <w:t>M</w:t>
      </w:r>
      <w:r w:rsidR="000544D5">
        <w:rPr>
          <w:b/>
          <w:highlight w:val="lightGray"/>
        </w:rPr>
        <w:t>-2022</w:t>
      </w:r>
      <w:r w:rsidR="00494425">
        <w:rPr>
          <w:b/>
          <w:highlight w:val="lightGray"/>
        </w:rPr>
        <w:t>-</w:t>
      </w:r>
      <w:r w:rsidR="000544D5">
        <w:rPr>
          <w:b/>
          <w:highlight w:val="lightGray"/>
        </w:rPr>
        <w:t>000</w:t>
      </w:r>
      <w:r w:rsidR="003113EE">
        <w:rPr>
          <w:b/>
          <w:highlight w:val="lightGray"/>
        </w:rPr>
        <w:t>2</w:t>
      </w:r>
      <w:bookmarkEnd w:id="0"/>
    </w:p>
    <w:p w:rsidR="00E038BF" w:rsidRDefault="007D64E7" w:rsidP="00E038BF">
      <w:pPr>
        <w:spacing w:after="0"/>
        <w:jc w:val="both"/>
      </w:pPr>
      <w:r>
        <w:t xml:space="preserve">El día </w:t>
      </w:r>
      <w:r w:rsidR="003113EE">
        <w:t>diez</w:t>
      </w:r>
      <w:r w:rsidR="000544D5">
        <w:t xml:space="preserve"> </w:t>
      </w:r>
      <w:r w:rsidR="00E038BF" w:rsidRPr="0044797D">
        <w:t>(</w:t>
      </w:r>
      <w:r w:rsidR="003113EE">
        <w:t>11</w:t>
      </w:r>
      <w:r w:rsidR="00E038BF">
        <w:t>)</w:t>
      </w:r>
      <w:r>
        <w:t xml:space="preserve"> del mes de</w:t>
      </w:r>
      <w:r w:rsidR="006762B3">
        <w:t xml:space="preserve"> marzo</w:t>
      </w:r>
      <w:r>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 xml:space="preserve">odificaciones de la Ley No. 449-06 y su Reglamento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 xml:space="preserve">eron apertura a las propuestas presentadas por los proveedores interesados en suplir los bienes o servicios solicitados mediante el Portal Transaccional bajo el proceso </w:t>
      </w:r>
      <w:r w:rsidR="000322E9" w:rsidRPr="000322E9">
        <w:rPr>
          <w:b/>
        </w:rPr>
        <w:t>AGN-</w:t>
      </w:r>
      <w:r w:rsidR="00D14312">
        <w:rPr>
          <w:b/>
        </w:rPr>
        <w:t>DAF</w:t>
      </w:r>
      <w:r w:rsidR="000322E9" w:rsidRPr="000322E9">
        <w:rPr>
          <w:b/>
        </w:rPr>
        <w:t>-C</w:t>
      </w:r>
      <w:r w:rsidR="00D14312">
        <w:rPr>
          <w:b/>
        </w:rPr>
        <w:t>M</w:t>
      </w:r>
      <w:r w:rsidR="000544D5">
        <w:rPr>
          <w:b/>
        </w:rPr>
        <w:t>-2022</w:t>
      </w:r>
      <w:r w:rsidR="000322E9" w:rsidRPr="000322E9">
        <w:rPr>
          <w:b/>
        </w:rPr>
        <w:t>-</w:t>
      </w:r>
      <w:r w:rsidR="000544D5">
        <w:rPr>
          <w:b/>
        </w:rPr>
        <w:t>000</w:t>
      </w:r>
      <w:r w:rsidR="003113EE">
        <w:rPr>
          <w:b/>
        </w:rPr>
        <w:t>2</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Look w:val="04A0"/>
      </w:tblPr>
      <w:tblGrid>
        <w:gridCol w:w="641"/>
        <w:gridCol w:w="5524"/>
        <w:gridCol w:w="1260"/>
        <w:gridCol w:w="1544"/>
      </w:tblGrid>
      <w:tr w:rsidR="00E038BF" w:rsidRPr="00B63BC3" w:rsidTr="00E04E7D">
        <w:trPr>
          <w:trHeight w:val="604"/>
          <w:jc w:val="center"/>
        </w:trPr>
        <w:tc>
          <w:tcPr>
            <w:tcW w:w="0" w:type="auto"/>
            <w:vAlign w:val="center"/>
          </w:tcPr>
          <w:p w:rsidR="00E038BF" w:rsidRPr="00B63BC3" w:rsidRDefault="00E038BF" w:rsidP="00E04E7D">
            <w:pPr>
              <w:rPr>
                <w:b/>
              </w:rPr>
            </w:pPr>
            <w:r w:rsidRPr="00B63BC3">
              <w:rPr>
                <w:b/>
              </w:rPr>
              <w:t>Ítem</w:t>
            </w:r>
          </w:p>
        </w:tc>
        <w:tc>
          <w:tcPr>
            <w:tcW w:w="5524" w:type="dxa"/>
            <w:vAlign w:val="center"/>
          </w:tcPr>
          <w:p w:rsidR="00E038BF" w:rsidRPr="00B63BC3" w:rsidRDefault="00E038BF" w:rsidP="00494425">
            <w:pPr>
              <w:jc w:val="center"/>
              <w:rPr>
                <w:b/>
              </w:rPr>
            </w:pPr>
            <w:r w:rsidRPr="00B63BC3">
              <w:rPr>
                <w:b/>
              </w:rPr>
              <w:t>Descripción</w:t>
            </w:r>
          </w:p>
        </w:tc>
        <w:tc>
          <w:tcPr>
            <w:tcW w:w="1260" w:type="dxa"/>
            <w:vAlign w:val="center"/>
          </w:tcPr>
          <w:p w:rsidR="00E038BF" w:rsidRPr="00B63BC3" w:rsidRDefault="00E038BF" w:rsidP="00E04E7D">
            <w:pPr>
              <w:jc w:val="center"/>
              <w:rPr>
                <w:b/>
              </w:rPr>
            </w:pPr>
            <w:r>
              <w:rPr>
                <w:b/>
              </w:rPr>
              <w:t>Unidad de Medida</w:t>
            </w:r>
          </w:p>
        </w:tc>
        <w:tc>
          <w:tcPr>
            <w:tcW w:w="1544" w:type="dxa"/>
            <w:vAlign w:val="center"/>
          </w:tcPr>
          <w:p w:rsidR="00E038BF" w:rsidRPr="00B63BC3" w:rsidRDefault="00E038BF" w:rsidP="00E04E7D">
            <w:pPr>
              <w:jc w:val="center"/>
              <w:rPr>
                <w:b/>
              </w:rPr>
            </w:pPr>
            <w:r w:rsidRPr="00B63BC3">
              <w:rPr>
                <w:b/>
              </w:rPr>
              <w:t>Cantidad Solicitada</w:t>
            </w:r>
          </w:p>
        </w:tc>
      </w:tr>
      <w:tr w:rsidR="00D14312" w:rsidRPr="00F46D9C" w:rsidTr="00805862">
        <w:trPr>
          <w:trHeight w:val="471"/>
          <w:jc w:val="center"/>
        </w:trPr>
        <w:tc>
          <w:tcPr>
            <w:tcW w:w="0" w:type="auto"/>
            <w:vAlign w:val="center"/>
          </w:tcPr>
          <w:p w:rsidR="00D14312" w:rsidRPr="00C54A5C" w:rsidRDefault="00D14312" w:rsidP="000B1CA4">
            <w:pPr>
              <w:jc w:val="center"/>
            </w:pPr>
            <w:r>
              <w:t>1</w:t>
            </w:r>
          </w:p>
        </w:tc>
        <w:tc>
          <w:tcPr>
            <w:tcW w:w="5524" w:type="dxa"/>
            <w:vAlign w:val="center"/>
          </w:tcPr>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Impresión de libro ¨RESEÑA HISTORICA Y EVOLUCION DEL SUPREMO GRADO 33´´</w:t>
            </w:r>
          </w:p>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 xml:space="preserve">Por </w:t>
            </w:r>
            <w:proofErr w:type="spellStart"/>
            <w:r w:rsidRPr="003113EE">
              <w:rPr>
                <w:rFonts w:ascii="Arial" w:eastAsia="Calibri" w:hAnsi="Arial" w:cs="Arial"/>
                <w:sz w:val="18"/>
                <w:szCs w:val="18"/>
              </w:rPr>
              <w:t>Haim</w:t>
            </w:r>
            <w:proofErr w:type="spellEnd"/>
            <w:r w:rsidRPr="003113EE">
              <w:rPr>
                <w:rFonts w:ascii="Arial" w:eastAsia="Calibri" w:hAnsi="Arial" w:cs="Arial"/>
                <w:sz w:val="18"/>
                <w:szCs w:val="18"/>
              </w:rPr>
              <w:t xml:space="preserve"> H. </w:t>
            </w:r>
            <w:proofErr w:type="spellStart"/>
            <w:r w:rsidRPr="003113EE">
              <w:rPr>
                <w:rFonts w:ascii="Arial" w:eastAsia="Calibri" w:hAnsi="Arial" w:cs="Arial"/>
                <w:sz w:val="18"/>
                <w:szCs w:val="18"/>
              </w:rPr>
              <w:t>Lopez-Penha</w:t>
            </w:r>
            <w:proofErr w:type="spellEnd"/>
          </w:p>
          <w:p w:rsidR="003113EE" w:rsidRPr="003113EE" w:rsidRDefault="003113EE" w:rsidP="003113EE">
            <w:pPr>
              <w:autoSpaceDE w:val="0"/>
              <w:autoSpaceDN w:val="0"/>
              <w:adjustRightInd w:val="0"/>
              <w:jc w:val="center"/>
              <w:rPr>
                <w:rFonts w:ascii="Arial" w:eastAsia="Calibri" w:hAnsi="Arial" w:cs="Arial"/>
                <w:sz w:val="18"/>
                <w:szCs w:val="18"/>
              </w:rPr>
            </w:pPr>
          </w:p>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Tamaño 6 x 9</w:t>
            </w:r>
          </w:p>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238 paginas</w:t>
            </w:r>
          </w:p>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 xml:space="preserve"> Papel satinado mate, 80g FULL COLOR</w:t>
            </w:r>
          </w:p>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 xml:space="preserve">Cubiertas </w:t>
            </w:r>
            <w:proofErr w:type="spellStart"/>
            <w:r w:rsidRPr="003113EE">
              <w:rPr>
                <w:rFonts w:ascii="Arial" w:eastAsia="Calibri" w:hAnsi="Arial" w:cs="Arial"/>
                <w:sz w:val="18"/>
                <w:szCs w:val="18"/>
              </w:rPr>
              <w:t>cartonite</w:t>
            </w:r>
            <w:proofErr w:type="spellEnd"/>
            <w:r w:rsidRPr="003113EE">
              <w:rPr>
                <w:rFonts w:ascii="Arial" w:eastAsia="Calibri" w:hAnsi="Arial" w:cs="Arial"/>
                <w:sz w:val="18"/>
                <w:szCs w:val="18"/>
              </w:rPr>
              <w:t xml:space="preserve"> calibre 12 con solapas FULL COLOR</w:t>
            </w:r>
          </w:p>
          <w:p w:rsidR="003113EE" w:rsidRPr="003113EE" w:rsidRDefault="003113EE" w:rsidP="003113EE">
            <w:pPr>
              <w:autoSpaceDE w:val="0"/>
              <w:autoSpaceDN w:val="0"/>
              <w:adjustRightInd w:val="0"/>
              <w:jc w:val="center"/>
              <w:rPr>
                <w:rFonts w:ascii="Arial" w:eastAsia="Calibri" w:hAnsi="Arial" w:cs="Arial"/>
                <w:sz w:val="18"/>
                <w:szCs w:val="18"/>
              </w:rPr>
            </w:pPr>
            <w:r w:rsidRPr="003113EE">
              <w:rPr>
                <w:rFonts w:ascii="Arial" w:eastAsia="Calibri" w:hAnsi="Arial" w:cs="Arial"/>
                <w:sz w:val="18"/>
                <w:szCs w:val="18"/>
              </w:rPr>
              <w:t xml:space="preserve">Encuadernación: Encolado </w:t>
            </w:r>
          </w:p>
          <w:p w:rsidR="00D14312" w:rsidRPr="008B4CBB" w:rsidRDefault="00D14312" w:rsidP="00D14312">
            <w:pPr>
              <w:autoSpaceDE w:val="0"/>
              <w:autoSpaceDN w:val="0"/>
              <w:adjustRightInd w:val="0"/>
              <w:jc w:val="center"/>
              <w:rPr>
                <w:rFonts w:ascii="Arial" w:eastAsia="Calibri" w:hAnsi="Arial" w:cs="Arial"/>
                <w:sz w:val="18"/>
                <w:szCs w:val="18"/>
              </w:rPr>
            </w:pPr>
          </w:p>
        </w:tc>
        <w:tc>
          <w:tcPr>
            <w:tcW w:w="1260" w:type="dxa"/>
            <w:vAlign w:val="center"/>
          </w:tcPr>
          <w:p w:rsidR="00D14312" w:rsidRPr="008B4CBB" w:rsidRDefault="006762B3" w:rsidP="00D14312">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UD</w:t>
            </w:r>
          </w:p>
        </w:tc>
        <w:tc>
          <w:tcPr>
            <w:tcW w:w="1544" w:type="dxa"/>
            <w:vAlign w:val="center"/>
          </w:tcPr>
          <w:p w:rsidR="00D14312" w:rsidRPr="008B4CBB" w:rsidRDefault="003113EE" w:rsidP="00D14312">
            <w:pPr>
              <w:jc w:val="center"/>
              <w:rPr>
                <w:rFonts w:ascii="Arial" w:hAnsi="Arial" w:cs="Arial"/>
                <w:color w:val="000000"/>
                <w:sz w:val="18"/>
                <w:szCs w:val="18"/>
              </w:rPr>
            </w:pPr>
            <w:r>
              <w:rPr>
                <w:rFonts w:ascii="Arial" w:hAnsi="Arial" w:cs="Arial"/>
                <w:color w:val="000000"/>
                <w:sz w:val="18"/>
                <w:szCs w:val="18"/>
              </w:rPr>
              <w:t>1000</w:t>
            </w:r>
          </w:p>
        </w:tc>
      </w:tr>
    </w:tbl>
    <w:p w:rsidR="00E038BF" w:rsidRDefault="00E038BF" w:rsidP="00E038BF">
      <w:pPr>
        <w:spacing w:after="0" w:line="240" w:lineRule="auto"/>
        <w:jc w:val="both"/>
        <w:rPr>
          <w:sz w:val="18"/>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04682B" w:rsidRDefault="00E038BF" w:rsidP="007F7CE8">
      <w:pPr>
        <w:spacing w:after="120"/>
        <w:jc w:val="both"/>
      </w:pPr>
      <w:r w:rsidRPr="00056E4B">
        <w:rPr>
          <w:b/>
        </w:rPr>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E038BF" w:rsidRDefault="00E038BF" w:rsidP="00E038BF">
      <w:pPr>
        <w:jc w:val="both"/>
        <w:rPr>
          <w:i/>
        </w:rPr>
      </w:pPr>
      <w:r>
        <w:rPr>
          <w:b/>
        </w:rPr>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F94E02" w:rsidRDefault="00E038BF" w:rsidP="00E038BF">
      <w:pPr>
        <w:jc w:val="both"/>
      </w:pPr>
      <w:r>
        <w:rPr>
          <w:b/>
        </w:rPr>
        <w:lastRenderedPageBreak/>
        <w:t>CONSIDERANDO:</w:t>
      </w:r>
      <w:r>
        <w:t xml:space="preserve"> Que </w:t>
      </w:r>
      <w:r w:rsidRPr="0044797D">
        <w:t xml:space="preserve">en fecha </w:t>
      </w:r>
      <w:r w:rsidR="003113EE">
        <w:t>08</w:t>
      </w:r>
      <w:r w:rsidR="0004682B">
        <w:t xml:space="preserve"> de</w:t>
      </w:r>
      <w:r w:rsidR="006762B3">
        <w:t xml:space="preserve"> </w:t>
      </w:r>
      <w:r w:rsidR="003113EE">
        <w:t>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000</w:t>
      </w:r>
      <w:r w:rsidR="003113EE">
        <w:rPr>
          <w:b/>
        </w:rPr>
        <w:t>2</w:t>
      </w:r>
      <w:r w:rsidRPr="0044797D">
        <w:t>, invita</w:t>
      </w:r>
      <w:r w:rsidR="00494425">
        <w:t>ndo de manera directa a t</w:t>
      </w:r>
      <w:r w:rsidR="006762B3">
        <w:t>res  (3</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t>CONSIDERANDO:</w:t>
      </w:r>
      <w:r>
        <w:t xml:space="preserve"> Que concluido dicho plazo se procedió a abrir y dar lectura a las propuestas económicas recibidas y detalladas a continuación:</w:t>
      </w:r>
    </w:p>
    <w:tbl>
      <w:tblPr>
        <w:tblW w:w="9009" w:type="dxa"/>
        <w:tblLayout w:type="fixed"/>
        <w:tblCellMar>
          <w:left w:w="70" w:type="dxa"/>
          <w:right w:w="70" w:type="dxa"/>
        </w:tblCellMar>
        <w:tblLook w:val="04A0"/>
      </w:tblPr>
      <w:tblGrid>
        <w:gridCol w:w="465"/>
        <w:gridCol w:w="6574"/>
        <w:gridCol w:w="1970"/>
      </w:tblGrid>
      <w:tr w:rsidR="008B07CD" w:rsidRPr="008B07CD" w:rsidTr="00AB3281">
        <w:trPr>
          <w:trHeight w:val="330"/>
        </w:trPr>
        <w:tc>
          <w:tcPr>
            <w:tcW w:w="465"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8B07CD" w:rsidRPr="00AB3281" w:rsidRDefault="008B07CD" w:rsidP="00AB3281">
            <w:pPr>
              <w:spacing w:after="0" w:line="240" w:lineRule="auto"/>
              <w:jc w:val="center"/>
              <w:rPr>
                <w:rFonts w:ascii="Arial" w:eastAsia="Times New Roman" w:hAnsi="Arial" w:cs="Arial"/>
                <w:b/>
                <w:bCs/>
                <w:color w:val="000000"/>
                <w:sz w:val="20"/>
                <w:szCs w:val="20"/>
                <w:lang w:eastAsia="es-DO"/>
              </w:rPr>
            </w:pPr>
            <w:r w:rsidRPr="00AB3281">
              <w:rPr>
                <w:rFonts w:ascii="Arial" w:eastAsia="SimSun" w:hAnsi="Arial" w:cs="Arial"/>
                <w:b/>
                <w:bCs/>
                <w:color w:val="000000"/>
                <w:sz w:val="20"/>
                <w:szCs w:val="20"/>
                <w:lang w:eastAsia="es-DO"/>
              </w:rPr>
              <w:t>No.</w:t>
            </w:r>
          </w:p>
        </w:tc>
        <w:tc>
          <w:tcPr>
            <w:tcW w:w="6574" w:type="dxa"/>
            <w:tcBorders>
              <w:top w:val="single" w:sz="8" w:space="0" w:color="auto"/>
              <w:left w:val="nil"/>
              <w:bottom w:val="single" w:sz="4" w:space="0" w:color="auto"/>
              <w:right w:val="single" w:sz="8" w:space="0" w:color="000000"/>
            </w:tcBorders>
            <w:shd w:val="clear" w:color="auto" w:fill="auto"/>
            <w:vAlign w:val="center"/>
            <w:hideMark/>
          </w:tcPr>
          <w:p w:rsidR="008B07CD" w:rsidRPr="00AB3281" w:rsidRDefault="008B07CD" w:rsidP="00AB3281">
            <w:pPr>
              <w:spacing w:after="0" w:line="240" w:lineRule="auto"/>
              <w:jc w:val="center"/>
              <w:rPr>
                <w:rFonts w:ascii="Arial" w:eastAsia="Times New Roman" w:hAnsi="Arial" w:cs="Arial"/>
                <w:b/>
                <w:bCs/>
                <w:color w:val="000000"/>
                <w:sz w:val="20"/>
                <w:szCs w:val="20"/>
                <w:lang w:eastAsia="es-DO"/>
              </w:rPr>
            </w:pPr>
            <w:r w:rsidRPr="00AB3281">
              <w:rPr>
                <w:rFonts w:ascii="Arial" w:eastAsia="SimSun" w:hAnsi="Arial" w:cs="Arial"/>
                <w:b/>
                <w:bCs/>
                <w:color w:val="000000"/>
                <w:sz w:val="20"/>
                <w:szCs w:val="20"/>
                <w:lang w:eastAsia="es-DO"/>
              </w:rPr>
              <w:t>Proveedor</w:t>
            </w:r>
          </w:p>
        </w:tc>
        <w:tc>
          <w:tcPr>
            <w:tcW w:w="1970" w:type="dxa"/>
            <w:tcBorders>
              <w:top w:val="single" w:sz="8" w:space="0" w:color="auto"/>
              <w:left w:val="nil"/>
              <w:bottom w:val="single" w:sz="4" w:space="0" w:color="auto"/>
              <w:right w:val="single" w:sz="8" w:space="0" w:color="auto"/>
            </w:tcBorders>
            <w:shd w:val="clear" w:color="auto" w:fill="auto"/>
            <w:vAlign w:val="center"/>
            <w:hideMark/>
          </w:tcPr>
          <w:p w:rsidR="008B07CD" w:rsidRPr="00AB3281" w:rsidRDefault="008B07CD" w:rsidP="00AB3281">
            <w:pPr>
              <w:spacing w:after="0" w:line="240" w:lineRule="auto"/>
              <w:jc w:val="center"/>
              <w:rPr>
                <w:rFonts w:ascii="Arial" w:eastAsia="Times New Roman" w:hAnsi="Arial" w:cs="Arial"/>
                <w:b/>
                <w:bCs/>
                <w:color w:val="000000"/>
                <w:sz w:val="20"/>
                <w:szCs w:val="20"/>
                <w:lang w:eastAsia="es-DO"/>
              </w:rPr>
            </w:pPr>
            <w:r w:rsidRPr="00AB3281">
              <w:rPr>
                <w:rFonts w:ascii="Arial" w:eastAsia="SimSun" w:hAnsi="Arial" w:cs="Arial"/>
                <w:b/>
                <w:bCs/>
                <w:color w:val="000000"/>
                <w:sz w:val="20"/>
                <w:szCs w:val="20"/>
                <w:lang w:eastAsia="es-DO"/>
              </w:rPr>
              <w:t>Monto de la oferta</w:t>
            </w:r>
          </w:p>
        </w:tc>
      </w:tr>
      <w:tr w:rsidR="008B07CD" w:rsidRPr="008B07CD" w:rsidTr="00AB3281">
        <w:trPr>
          <w:trHeight w:val="3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AB3281" w:rsidRDefault="004531B2" w:rsidP="00AB3281">
            <w:pPr>
              <w:spacing w:after="0" w:line="240" w:lineRule="auto"/>
              <w:jc w:val="center"/>
              <w:rPr>
                <w:rFonts w:ascii="Arial" w:eastAsia="Times New Roman" w:hAnsi="Arial" w:cs="Arial"/>
                <w:b/>
                <w:color w:val="000000"/>
                <w:sz w:val="20"/>
                <w:szCs w:val="20"/>
                <w:lang w:eastAsia="es-DO"/>
              </w:rPr>
            </w:pPr>
            <w:r w:rsidRPr="00AB3281">
              <w:rPr>
                <w:rFonts w:ascii="Arial" w:eastAsia="Times New Roman" w:hAnsi="Arial" w:cs="Arial"/>
                <w:b/>
                <w:color w:val="000000"/>
                <w:sz w:val="20"/>
                <w:szCs w:val="20"/>
                <w:lang w:eastAsia="es-DO"/>
              </w:rPr>
              <w:t>1</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AB3281" w:rsidRDefault="003113EE" w:rsidP="00AB3281">
            <w:pPr>
              <w:jc w:val="center"/>
              <w:rPr>
                <w:rFonts w:ascii="Arial" w:hAnsi="Arial" w:cs="Arial"/>
                <w:b/>
                <w:color w:val="000000"/>
                <w:sz w:val="20"/>
                <w:szCs w:val="20"/>
              </w:rPr>
            </w:pPr>
            <w:r w:rsidRPr="00AB3281">
              <w:rPr>
                <w:rFonts w:ascii="Arial" w:hAnsi="Arial" w:cs="Arial"/>
                <w:b/>
                <w:color w:val="000000"/>
                <w:sz w:val="20"/>
                <w:szCs w:val="20"/>
              </w:rPr>
              <w:t>Editora Corripio, SAS</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AB3281" w:rsidRDefault="00C04BCA" w:rsidP="00AB3281">
            <w:pPr>
              <w:spacing w:after="0" w:line="240" w:lineRule="auto"/>
              <w:jc w:val="center"/>
              <w:rPr>
                <w:rFonts w:ascii="Arial" w:eastAsia="Times New Roman" w:hAnsi="Arial" w:cs="Arial"/>
                <w:b/>
                <w:color w:val="000000"/>
                <w:sz w:val="20"/>
                <w:szCs w:val="20"/>
                <w:lang w:eastAsia="es-DO"/>
              </w:rPr>
            </w:pPr>
            <w:r w:rsidRPr="00AB3281">
              <w:rPr>
                <w:rFonts w:ascii="Arial" w:hAnsi="Arial" w:cs="Arial"/>
                <w:b/>
                <w:sz w:val="20"/>
                <w:szCs w:val="20"/>
              </w:rPr>
              <w:t>RD$</w:t>
            </w:r>
            <w:r w:rsidR="00AB3281" w:rsidRPr="00AB3281">
              <w:rPr>
                <w:rFonts w:ascii="Arial" w:hAnsi="Arial" w:cs="Arial"/>
                <w:b/>
                <w:sz w:val="20"/>
                <w:szCs w:val="20"/>
              </w:rPr>
              <w:t xml:space="preserve"> </w:t>
            </w:r>
            <w:r w:rsidR="003113EE" w:rsidRPr="00AB3281">
              <w:rPr>
                <w:rFonts w:ascii="Arial" w:hAnsi="Arial" w:cs="Arial"/>
                <w:b/>
                <w:sz w:val="20"/>
                <w:szCs w:val="20"/>
              </w:rPr>
              <w:t>189,570</w:t>
            </w:r>
            <w:r w:rsidRPr="00AB3281">
              <w:rPr>
                <w:rFonts w:ascii="Arial" w:hAnsi="Arial" w:cs="Arial"/>
                <w:b/>
                <w:sz w:val="20"/>
                <w:szCs w:val="20"/>
              </w:rPr>
              <w:t>.00</w:t>
            </w:r>
          </w:p>
        </w:tc>
      </w:tr>
      <w:tr w:rsidR="003113EE" w:rsidRPr="008B07CD" w:rsidTr="00AB3281">
        <w:trPr>
          <w:trHeight w:val="3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3113EE" w:rsidP="00AB3281">
            <w:pPr>
              <w:spacing w:after="0" w:line="240" w:lineRule="auto"/>
              <w:jc w:val="center"/>
              <w:rPr>
                <w:rFonts w:ascii="Arial" w:eastAsia="Times New Roman" w:hAnsi="Arial" w:cs="Arial"/>
                <w:b/>
                <w:color w:val="000000"/>
                <w:sz w:val="20"/>
                <w:szCs w:val="20"/>
                <w:lang w:eastAsia="es-DO"/>
              </w:rPr>
            </w:pPr>
            <w:r w:rsidRPr="00AB3281">
              <w:rPr>
                <w:rFonts w:ascii="Arial" w:eastAsia="Times New Roman" w:hAnsi="Arial" w:cs="Arial"/>
                <w:b/>
                <w:color w:val="000000"/>
                <w:sz w:val="20"/>
                <w:szCs w:val="20"/>
                <w:lang w:eastAsia="es-DO"/>
              </w:rPr>
              <w:t>2</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3113EE" w:rsidP="00AB3281">
            <w:pPr>
              <w:jc w:val="center"/>
              <w:rPr>
                <w:rStyle w:val="vortalspan"/>
                <w:rFonts w:ascii="Arial" w:hAnsi="Arial" w:cs="Arial"/>
                <w:b/>
                <w:color w:val="000000"/>
                <w:sz w:val="20"/>
                <w:szCs w:val="20"/>
              </w:rPr>
            </w:pPr>
            <w:r w:rsidRPr="00AB3281">
              <w:rPr>
                <w:rFonts w:ascii="Arial" w:hAnsi="Arial" w:cs="Arial"/>
                <w:b/>
                <w:color w:val="000000"/>
                <w:sz w:val="20"/>
                <w:szCs w:val="20"/>
              </w:rPr>
              <w:t>JCGLOW Marketing RD, SRL</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3113EE" w:rsidP="00AB3281">
            <w:pPr>
              <w:spacing w:after="0" w:line="240" w:lineRule="auto"/>
              <w:jc w:val="center"/>
              <w:rPr>
                <w:rFonts w:ascii="Arial" w:hAnsi="Arial" w:cs="Arial"/>
                <w:b/>
                <w:sz w:val="20"/>
                <w:szCs w:val="20"/>
              </w:rPr>
            </w:pPr>
            <w:r w:rsidRPr="00AB3281">
              <w:rPr>
                <w:rFonts w:ascii="Arial" w:hAnsi="Arial" w:cs="Arial"/>
                <w:b/>
                <w:sz w:val="20"/>
                <w:szCs w:val="20"/>
              </w:rPr>
              <w:t>RD$</w:t>
            </w:r>
            <w:r w:rsidR="00AB3281" w:rsidRPr="00AB3281">
              <w:rPr>
                <w:rFonts w:ascii="Arial" w:hAnsi="Arial" w:cs="Arial"/>
                <w:b/>
                <w:sz w:val="20"/>
                <w:szCs w:val="20"/>
              </w:rPr>
              <w:t xml:space="preserve"> </w:t>
            </w:r>
            <w:r w:rsidRPr="00AB3281">
              <w:rPr>
                <w:rFonts w:ascii="Arial" w:hAnsi="Arial" w:cs="Arial"/>
                <w:b/>
                <w:sz w:val="20"/>
                <w:szCs w:val="20"/>
              </w:rPr>
              <w:t>199,420.00</w:t>
            </w:r>
          </w:p>
        </w:tc>
      </w:tr>
      <w:tr w:rsidR="003113EE" w:rsidRPr="008B07CD" w:rsidTr="00AB3281">
        <w:trPr>
          <w:trHeight w:val="3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3113EE" w:rsidP="00AB3281">
            <w:pPr>
              <w:spacing w:after="0" w:line="240" w:lineRule="auto"/>
              <w:jc w:val="center"/>
              <w:rPr>
                <w:rFonts w:ascii="Arial" w:eastAsia="Times New Roman" w:hAnsi="Arial" w:cs="Arial"/>
                <w:b/>
                <w:color w:val="000000"/>
                <w:sz w:val="20"/>
                <w:szCs w:val="20"/>
                <w:lang w:eastAsia="es-DO"/>
              </w:rPr>
            </w:pPr>
            <w:r w:rsidRPr="00AB3281">
              <w:rPr>
                <w:rFonts w:ascii="Arial" w:eastAsia="Times New Roman" w:hAnsi="Arial" w:cs="Arial"/>
                <w:b/>
                <w:color w:val="000000"/>
                <w:sz w:val="20"/>
                <w:szCs w:val="20"/>
                <w:lang w:eastAsia="es-DO"/>
              </w:rPr>
              <w:t>3</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AB3281" w:rsidP="00AB3281">
            <w:pPr>
              <w:jc w:val="center"/>
              <w:rPr>
                <w:rStyle w:val="vortalspan"/>
                <w:rFonts w:ascii="Arial" w:hAnsi="Arial" w:cs="Arial"/>
                <w:b/>
                <w:color w:val="000000"/>
                <w:sz w:val="20"/>
                <w:szCs w:val="20"/>
              </w:rPr>
            </w:pPr>
            <w:r w:rsidRPr="00AB3281">
              <w:rPr>
                <w:rFonts w:ascii="Arial" w:hAnsi="Arial" w:cs="Arial"/>
                <w:b/>
                <w:color w:val="000000"/>
                <w:sz w:val="20"/>
                <w:szCs w:val="20"/>
              </w:rPr>
              <w:t>Esteban Aquino García</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AB3281" w:rsidP="00AB3281">
            <w:pPr>
              <w:spacing w:after="0" w:line="240" w:lineRule="auto"/>
              <w:jc w:val="center"/>
              <w:rPr>
                <w:rFonts w:ascii="Arial" w:hAnsi="Arial" w:cs="Arial"/>
                <w:b/>
                <w:sz w:val="20"/>
                <w:szCs w:val="20"/>
              </w:rPr>
            </w:pPr>
            <w:r w:rsidRPr="00AB3281">
              <w:rPr>
                <w:rFonts w:ascii="Arial" w:hAnsi="Arial" w:cs="Arial"/>
                <w:b/>
                <w:sz w:val="20"/>
                <w:szCs w:val="20"/>
              </w:rPr>
              <w:t>RD$ 430,000.00</w:t>
            </w:r>
          </w:p>
        </w:tc>
      </w:tr>
      <w:tr w:rsidR="003113EE" w:rsidRPr="008B07CD" w:rsidTr="00AB3281">
        <w:trPr>
          <w:trHeight w:val="3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3113EE" w:rsidP="00AB3281">
            <w:pPr>
              <w:spacing w:after="0" w:line="240" w:lineRule="auto"/>
              <w:jc w:val="center"/>
              <w:rPr>
                <w:rFonts w:ascii="Arial" w:eastAsia="Times New Roman" w:hAnsi="Arial" w:cs="Arial"/>
                <w:b/>
                <w:color w:val="000000"/>
                <w:sz w:val="20"/>
                <w:szCs w:val="20"/>
                <w:lang w:eastAsia="es-DO"/>
              </w:rPr>
            </w:pPr>
            <w:r w:rsidRPr="00AB3281">
              <w:rPr>
                <w:rFonts w:ascii="Arial" w:eastAsia="Times New Roman" w:hAnsi="Arial" w:cs="Arial"/>
                <w:b/>
                <w:color w:val="000000"/>
                <w:sz w:val="20"/>
                <w:szCs w:val="20"/>
                <w:lang w:eastAsia="es-DO"/>
              </w:rPr>
              <w:t>4</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AB3281" w:rsidP="00AB3281">
            <w:pPr>
              <w:jc w:val="center"/>
              <w:rPr>
                <w:rStyle w:val="vortalspan"/>
                <w:rFonts w:ascii="Arial" w:hAnsi="Arial" w:cs="Arial"/>
                <w:b/>
                <w:color w:val="000000"/>
                <w:sz w:val="20"/>
                <w:szCs w:val="20"/>
              </w:rPr>
            </w:pPr>
            <w:r w:rsidRPr="00AB3281">
              <w:rPr>
                <w:rStyle w:val="vortalspan"/>
                <w:rFonts w:ascii="Arial" w:hAnsi="Arial" w:cs="Arial"/>
                <w:b/>
                <w:color w:val="000000"/>
                <w:sz w:val="20"/>
                <w:szCs w:val="20"/>
              </w:rPr>
              <w:t>Distribuidora y Servicios Diversos DISOPE, SRL</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EE" w:rsidRPr="00AB3281" w:rsidRDefault="00AB3281" w:rsidP="00AB3281">
            <w:pPr>
              <w:spacing w:after="0" w:line="240" w:lineRule="auto"/>
              <w:jc w:val="center"/>
              <w:rPr>
                <w:rFonts w:ascii="Arial" w:hAnsi="Arial" w:cs="Arial"/>
                <w:b/>
                <w:sz w:val="20"/>
                <w:szCs w:val="20"/>
              </w:rPr>
            </w:pPr>
            <w:r>
              <w:rPr>
                <w:rFonts w:ascii="Arial" w:hAnsi="Arial" w:cs="Arial"/>
                <w:b/>
                <w:sz w:val="20"/>
                <w:szCs w:val="20"/>
              </w:rPr>
              <w:t>RD$ 348,100.00</w:t>
            </w:r>
          </w:p>
        </w:tc>
      </w:tr>
      <w:tr w:rsidR="00EF00DB" w:rsidRPr="008B07CD" w:rsidTr="00AB3281">
        <w:trPr>
          <w:trHeight w:val="3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0DB" w:rsidRPr="00AB3281" w:rsidRDefault="00EF00DB" w:rsidP="00AB3281">
            <w:pPr>
              <w:spacing w:after="0" w:line="240" w:lineRule="auto"/>
              <w:jc w:val="center"/>
              <w:rPr>
                <w:rFonts w:ascii="Arial" w:eastAsia="Times New Roman" w:hAnsi="Arial" w:cs="Arial"/>
                <w:b/>
                <w:color w:val="000000"/>
                <w:sz w:val="20"/>
                <w:szCs w:val="20"/>
                <w:lang w:eastAsia="es-DO"/>
              </w:rPr>
            </w:pPr>
            <w:r>
              <w:rPr>
                <w:rFonts w:ascii="Arial" w:eastAsia="Times New Roman" w:hAnsi="Arial" w:cs="Arial"/>
                <w:b/>
                <w:color w:val="000000"/>
                <w:sz w:val="20"/>
                <w:szCs w:val="20"/>
                <w:lang w:eastAsia="es-DO"/>
              </w:rPr>
              <w:t>5</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0DB" w:rsidRPr="00AB3281" w:rsidRDefault="00EF00DB" w:rsidP="00AB3281">
            <w:pPr>
              <w:jc w:val="center"/>
              <w:rPr>
                <w:rStyle w:val="vortalspan"/>
                <w:rFonts w:ascii="Arial" w:hAnsi="Arial" w:cs="Arial"/>
                <w:b/>
                <w:color w:val="000000"/>
                <w:sz w:val="20"/>
                <w:szCs w:val="20"/>
              </w:rPr>
            </w:pPr>
            <w:r>
              <w:rPr>
                <w:rStyle w:val="vortalspan"/>
                <w:rFonts w:ascii="Arial" w:hAnsi="Arial" w:cs="Arial"/>
                <w:b/>
                <w:color w:val="000000"/>
                <w:sz w:val="20"/>
                <w:szCs w:val="20"/>
              </w:rPr>
              <w:t>Comprisa Papel y Papeles, SRL</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0DB" w:rsidRDefault="00EF00DB" w:rsidP="00AB3281">
            <w:pPr>
              <w:spacing w:after="0" w:line="240" w:lineRule="auto"/>
              <w:jc w:val="center"/>
              <w:rPr>
                <w:rFonts w:ascii="Arial" w:hAnsi="Arial" w:cs="Arial"/>
                <w:b/>
                <w:sz w:val="20"/>
                <w:szCs w:val="20"/>
              </w:rPr>
            </w:pPr>
            <w:r>
              <w:rPr>
                <w:rFonts w:ascii="Arial" w:hAnsi="Arial" w:cs="Arial"/>
                <w:b/>
                <w:sz w:val="20"/>
                <w:szCs w:val="20"/>
              </w:rPr>
              <w:t>RD$ 442,500.00</w:t>
            </w:r>
          </w:p>
        </w:tc>
      </w:tr>
    </w:tbl>
    <w:p w:rsidR="00775408" w:rsidRDefault="008B07CD" w:rsidP="008B07CD">
      <w:pPr>
        <w:jc w:val="both"/>
        <w:rPr>
          <w:sz w:val="18"/>
        </w:rPr>
      </w:pPr>
      <w:r w:rsidRPr="00775408">
        <w:rPr>
          <w:sz w:val="18"/>
        </w:rPr>
        <w:t xml:space="preserve"> </w:t>
      </w:r>
    </w:p>
    <w:p w:rsidR="00775408" w:rsidRPr="00775408" w:rsidRDefault="00775408" w:rsidP="00006BE8">
      <w:pPr>
        <w:spacing w:after="0"/>
        <w:jc w:val="both"/>
        <w:rPr>
          <w:sz w:val="18"/>
        </w:rPr>
      </w:pPr>
    </w:p>
    <w:p w:rsidR="00775408" w:rsidRDefault="00775408" w:rsidP="00006BE8">
      <w:pPr>
        <w:spacing w:after="0"/>
        <w:jc w:val="both"/>
        <w:rPr>
          <w:sz w:val="18"/>
        </w:rPr>
      </w:pPr>
    </w:p>
    <w:p w:rsidR="00780681" w:rsidRDefault="00780681"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494425">
      <w:pPr>
        <w:spacing w:after="0" w:line="240" w:lineRule="auto"/>
        <w:jc w:val="center"/>
        <w:rPr>
          <w:b/>
        </w:rPr>
      </w:pPr>
    </w:p>
    <w:p w:rsidR="00AE57AC" w:rsidRDefault="00AE57AC" w:rsidP="00494425">
      <w:pPr>
        <w:spacing w:after="0" w:line="240" w:lineRule="auto"/>
        <w:jc w:val="center"/>
        <w:rPr>
          <w:b/>
        </w:rPr>
      </w:pPr>
    </w:p>
    <w:p w:rsidR="00F72E63" w:rsidRDefault="00F72E63" w:rsidP="00494425">
      <w:pPr>
        <w:spacing w:after="0" w:line="240" w:lineRule="auto"/>
        <w:jc w:val="center"/>
        <w:rPr>
          <w:b/>
        </w:rPr>
      </w:pPr>
    </w:p>
    <w:sectPr w:rsidR="00F72E63" w:rsidSect="006255B0">
      <w:headerReference w:type="default" r:id="rId8"/>
      <w:footerReference w:type="default" r:id="rId9"/>
      <w:pgSz w:w="12240" w:h="15840"/>
      <w:pgMar w:top="1417"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EE" w:rsidRDefault="003113EE" w:rsidP="002B00DF">
      <w:pPr>
        <w:spacing w:after="0" w:line="240" w:lineRule="auto"/>
      </w:pPr>
      <w:r>
        <w:separator/>
      </w:r>
    </w:p>
  </w:endnote>
  <w:endnote w:type="continuationSeparator" w:id="0">
    <w:p w:rsidR="003113EE" w:rsidRDefault="003113EE"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EE" w:rsidRDefault="003113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EE" w:rsidRDefault="003113EE" w:rsidP="002B00DF">
      <w:pPr>
        <w:spacing w:after="0" w:line="240" w:lineRule="auto"/>
      </w:pPr>
      <w:r>
        <w:separator/>
      </w:r>
    </w:p>
  </w:footnote>
  <w:footnote w:type="continuationSeparator" w:id="0">
    <w:p w:rsidR="003113EE" w:rsidRDefault="003113EE"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EE" w:rsidRDefault="003113EE" w:rsidP="002B00DF">
    <w:pPr>
      <w:pStyle w:val="Encabezado"/>
      <w:jc w:val="center"/>
    </w:pPr>
    <w:r w:rsidRPr="002B00DF">
      <w:rPr>
        <w:noProof/>
        <w:lang w:eastAsia="es-DO"/>
      </w:rPr>
      <w:drawing>
        <wp:inline distT="0" distB="0" distL="0" distR="0">
          <wp:extent cx="2342012" cy="113276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2342400" cy="1132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107D"/>
    <w:rsid w:val="000322E9"/>
    <w:rsid w:val="0004381B"/>
    <w:rsid w:val="00043845"/>
    <w:rsid w:val="0004682B"/>
    <w:rsid w:val="000544D5"/>
    <w:rsid w:val="00056E4B"/>
    <w:rsid w:val="00090637"/>
    <w:rsid w:val="0009204A"/>
    <w:rsid w:val="00093E2E"/>
    <w:rsid w:val="00095A51"/>
    <w:rsid w:val="000A084B"/>
    <w:rsid w:val="000B1CA4"/>
    <w:rsid w:val="000D7AE0"/>
    <w:rsid w:val="00103EBC"/>
    <w:rsid w:val="00164BC2"/>
    <w:rsid w:val="001848B5"/>
    <w:rsid w:val="00192057"/>
    <w:rsid w:val="001A5992"/>
    <w:rsid w:val="001C1938"/>
    <w:rsid w:val="001D5A66"/>
    <w:rsid w:val="001E6CB4"/>
    <w:rsid w:val="00203C03"/>
    <w:rsid w:val="00226104"/>
    <w:rsid w:val="00260753"/>
    <w:rsid w:val="0026498A"/>
    <w:rsid w:val="00272C30"/>
    <w:rsid w:val="00287B0F"/>
    <w:rsid w:val="00290214"/>
    <w:rsid w:val="00294E00"/>
    <w:rsid w:val="002B00DF"/>
    <w:rsid w:val="002B0D73"/>
    <w:rsid w:val="002C05FC"/>
    <w:rsid w:val="002C4D70"/>
    <w:rsid w:val="002C6099"/>
    <w:rsid w:val="002D6C2E"/>
    <w:rsid w:val="002E2DA2"/>
    <w:rsid w:val="002F6120"/>
    <w:rsid w:val="00302DC0"/>
    <w:rsid w:val="003113EE"/>
    <w:rsid w:val="00334EC8"/>
    <w:rsid w:val="00345F50"/>
    <w:rsid w:val="0035108A"/>
    <w:rsid w:val="00351D4D"/>
    <w:rsid w:val="00367D0E"/>
    <w:rsid w:val="00394396"/>
    <w:rsid w:val="003A3BB7"/>
    <w:rsid w:val="003F7674"/>
    <w:rsid w:val="004131C4"/>
    <w:rsid w:val="00414269"/>
    <w:rsid w:val="00441301"/>
    <w:rsid w:val="0044797D"/>
    <w:rsid w:val="004531B2"/>
    <w:rsid w:val="00461200"/>
    <w:rsid w:val="0046581B"/>
    <w:rsid w:val="00482364"/>
    <w:rsid w:val="00494425"/>
    <w:rsid w:val="004B270C"/>
    <w:rsid w:val="004D63D9"/>
    <w:rsid w:val="004E588B"/>
    <w:rsid w:val="00504552"/>
    <w:rsid w:val="00511B0B"/>
    <w:rsid w:val="00531CAC"/>
    <w:rsid w:val="00542102"/>
    <w:rsid w:val="00545838"/>
    <w:rsid w:val="005463C1"/>
    <w:rsid w:val="0056658B"/>
    <w:rsid w:val="00596502"/>
    <w:rsid w:val="005C53C7"/>
    <w:rsid w:val="005D4DF6"/>
    <w:rsid w:val="005E1B64"/>
    <w:rsid w:val="006144B5"/>
    <w:rsid w:val="006148DE"/>
    <w:rsid w:val="0062283C"/>
    <w:rsid w:val="006255B0"/>
    <w:rsid w:val="00632EA7"/>
    <w:rsid w:val="006762B3"/>
    <w:rsid w:val="00680BC2"/>
    <w:rsid w:val="00682040"/>
    <w:rsid w:val="006915CA"/>
    <w:rsid w:val="00696CA5"/>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56CD8"/>
    <w:rsid w:val="00775408"/>
    <w:rsid w:val="00780681"/>
    <w:rsid w:val="007B52B9"/>
    <w:rsid w:val="007D64E7"/>
    <w:rsid w:val="007E3677"/>
    <w:rsid w:val="007F7CE8"/>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5265"/>
    <w:rsid w:val="00915CA7"/>
    <w:rsid w:val="009443DE"/>
    <w:rsid w:val="00954B45"/>
    <w:rsid w:val="0096476B"/>
    <w:rsid w:val="00981F4E"/>
    <w:rsid w:val="009921C3"/>
    <w:rsid w:val="009B3CC5"/>
    <w:rsid w:val="009D2A92"/>
    <w:rsid w:val="009F5F40"/>
    <w:rsid w:val="00A135C4"/>
    <w:rsid w:val="00A16986"/>
    <w:rsid w:val="00A637FB"/>
    <w:rsid w:val="00A76B30"/>
    <w:rsid w:val="00A96EE4"/>
    <w:rsid w:val="00AB3281"/>
    <w:rsid w:val="00AB6E8E"/>
    <w:rsid w:val="00AC033F"/>
    <w:rsid w:val="00AE4B08"/>
    <w:rsid w:val="00AE57AC"/>
    <w:rsid w:val="00AF70AD"/>
    <w:rsid w:val="00B03624"/>
    <w:rsid w:val="00B17AB4"/>
    <w:rsid w:val="00B238C1"/>
    <w:rsid w:val="00B42ECF"/>
    <w:rsid w:val="00B56FE0"/>
    <w:rsid w:val="00B820BD"/>
    <w:rsid w:val="00B913A7"/>
    <w:rsid w:val="00B95EDF"/>
    <w:rsid w:val="00B979F7"/>
    <w:rsid w:val="00BB6BCC"/>
    <w:rsid w:val="00BD60D5"/>
    <w:rsid w:val="00BF642A"/>
    <w:rsid w:val="00C04BCA"/>
    <w:rsid w:val="00C05CA2"/>
    <w:rsid w:val="00C15857"/>
    <w:rsid w:val="00C625DB"/>
    <w:rsid w:val="00C7190A"/>
    <w:rsid w:val="00C80F1A"/>
    <w:rsid w:val="00C8497C"/>
    <w:rsid w:val="00C95F26"/>
    <w:rsid w:val="00CA1761"/>
    <w:rsid w:val="00CB0A2F"/>
    <w:rsid w:val="00CC744F"/>
    <w:rsid w:val="00CC7AE5"/>
    <w:rsid w:val="00CD5C4D"/>
    <w:rsid w:val="00CF06EC"/>
    <w:rsid w:val="00CF3AF6"/>
    <w:rsid w:val="00CF5271"/>
    <w:rsid w:val="00D14312"/>
    <w:rsid w:val="00D14A8D"/>
    <w:rsid w:val="00D15287"/>
    <w:rsid w:val="00D34B4D"/>
    <w:rsid w:val="00D443AA"/>
    <w:rsid w:val="00D64CD9"/>
    <w:rsid w:val="00DA4096"/>
    <w:rsid w:val="00DC452D"/>
    <w:rsid w:val="00DD0689"/>
    <w:rsid w:val="00DD57BD"/>
    <w:rsid w:val="00DF5BC4"/>
    <w:rsid w:val="00DF75F9"/>
    <w:rsid w:val="00E01C1F"/>
    <w:rsid w:val="00E038BF"/>
    <w:rsid w:val="00E04E7D"/>
    <w:rsid w:val="00E13074"/>
    <w:rsid w:val="00E14ED6"/>
    <w:rsid w:val="00E33720"/>
    <w:rsid w:val="00E34486"/>
    <w:rsid w:val="00E35573"/>
    <w:rsid w:val="00E448E0"/>
    <w:rsid w:val="00E47D03"/>
    <w:rsid w:val="00E65388"/>
    <w:rsid w:val="00E75DE0"/>
    <w:rsid w:val="00E9286F"/>
    <w:rsid w:val="00EC0DC4"/>
    <w:rsid w:val="00EC1124"/>
    <w:rsid w:val="00EF00DB"/>
    <w:rsid w:val="00EF16AB"/>
    <w:rsid w:val="00F13C0F"/>
    <w:rsid w:val="00F17FD5"/>
    <w:rsid w:val="00F52147"/>
    <w:rsid w:val="00F72E63"/>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668026751">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699205179">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833572494">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 w:id="15558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5BEFB-C4AD-4E16-89B8-A8CE278A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Ivan Perez</cp:lastModifiedBy>
  <cp:revision>2</cp:revision>
  <cp:lastPrinted>2022-03-14T16:37:00Z</cp:lastPrinted>
  <dcterms:created xsi:type="dcterms:W3CDTF">2022-03-14T16:42:00Z</dcterms:created>
  <dcterms:modified xsi:type="dcterms:W3CDTF">2022-03-14T16:42:00Z</dcterms:modified>
</cp:coreProperties>
</file>