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E038BF">
      <w:pPr>
        <w:pBdr>
          <w:bottom w:val="single" w:sz="12" w:space="1" w:color="auto"/>
        </w:pBdr>
        <w:jc w:val="center"/>
        <w:rPr>
          <w:b/>
        </w:rPr>
      </w:pPr>
      <w:r w:rsidRPr="002B00DF">
        <w:rPr>
          <w:b/>
        </w:rPr>
        <w:t xml:space="preserve">Proceso </w:t>
      </w:r>
      <w:r w:rsidR="005B3F41">
        <w:rPr>
          <w:b/>
          <w:bCs/>
        </w:rPr>
        <w:t>AGN-DAF-CM-2022-0005</w:t>
      </w:r>
    </w:p>
    <w:p w:rsidR="00E038BF" w:rsidRDefault="005B3F41" w:rsidP="00E038BF">
      <w:pPr>
        <w:spacing w:after="0"/>
        <w:jc w:val="both"/>
      </w:pPr>
      <w:r>
        <w:t xml:space="preserve">El día veintidós </w:t>
      </w:r>
      <w:r w:rsidR="000544D5">
        <w:t xml:space="preserve"> </w:t>
      </w:r>
      <w:r w:rsidR="00E038BF" w:rsidRPr="0044797D">
        <w:t>(</w:t>
      </w:r>
      <w:r>
        <w:t>22</w:t>
      </w:r>
      <w:r w:rsidR="00E038BF">
        <w:t>)</w:t>
      </w:r>
      <w:r w:rsidR="007D64E7">
        <w:t xml:space="preserve"> del mes de</w:t>
      </w:r>
      <w:r w:rsidR="006762B3">
        <w:t xml:space="preserve"> marzo</w:t>
      </w:r>
      <w:r w:rsidR="007D64E7">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 xml:space="preserve">odificaciones de la Ley No. 449-06 y su Reglamento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eron apertura a las propuestas presentadas por los proveedores interesados en suplir los bienes o servicios solicitados mediante el Portal Transaccional bajo el proceso</w:t>
      </w:r>
      <w:r w:rsidR="0074409B" w:rsidRPr="0074409B">
        <w:rPr>
          <w:b/>
          <w:bCs/>
        </w:rPr>
        <w:t>AGN-DAF-CM-2022-000</w:t>
      </w:r>
      <w:r>
        <w:rPr>
          <w:b/>
          <w:bCs/>
        </w:rPr>
        <w:t>5</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Look w:val="04A0"/>
      </w:tblPr>
      <w:tblGrid>
        <w:gridCol w:w="641"/>
        <w:gridCol w:w="5524"/>
        <w:gridCol w:w="1260"/>
        <w:gridCol w:w="1544"/>
      </w:tblGrid>
      <w:tr w:rsidR="00E038BF" w:rsidRPr="00B63BC3" w:rsidTr="00E04E7D">
        <w:trPr>
          <w:trHeight w:val="604"/>
          <w:jc w:val="center"/>
        </w:trPr>
        <w:tc>
          <w:tcPr>
            <w:tcW w:w="0" w:type="auto"/>
            <w:vAlign w:val="center"/>
          </w:tcPr>
          <w:p w:rsidR="00E038BF" w:rsidRPr="00B63BC3" w:rsidRDefault="00E038BF" w:rsidP="00E04E7D">
            <w:pPr>
              <w:rPr>
                <w:b/>
              </w:rPr>
            </w:pPr>
            <w:r w:rsidRPr="00B63BC3">
              <w:rPr>
                <w:b/>
              </w:rPr>
              <w:t>Ítem</w:t>
            </w:r>
          </w:p>
        </w:tc>
        <w:tc>
          <w:tcPr>
            <w:tcW w:w="5524" w:type="dxa"/>
            <w:vAlign w:val="center"/>
          </w:tcPr>
          <w:p w:rsidR="00E038BF" w:rsidRPr="00B63BC3" w:rsidRDefault="00E038BF" w:rsidP="00494425">
            <w:pPr>
              <w:jc w:val="center"/>
              <w:rPr>
                <w:b/>
              </w:rPr>
            </w:pPr>
            <w:r w:rsidRPr="00B63BC3">
              <w:rPr>
                <w:b/>
              </w:rPr>
              <w:t>Descripción</w:t>
            </w:r>
          </w:p>
        </w:tc>
        <w:tc>
          <w:tcPr>
            <w:tcW w:w="1260" w:type="dxa"/>
            <w:vAlign w:val="center"/>
          </w:tcPr>
          <w:p w:rsidR="00E038BF" w:rsidRPr="00B63BC3" w:rsidRDefault="00E038BF" w:rsidP="00E04E7D">
            <w:pPr>
              <w:jc w:val="center"/>
              <w:rPr>
                <w:b/>
              </w:rPr>
            </w:pPr>
            <w:r>
              <w:rPr>
                <w:b/>
              </w:rPr>
              <w:t>Unidad de Medida</w:t>
            </w:r>
          </w:p>
        </w:tc>
        <w:tc>
          <w:tcPr>
            <w:tcW w:w="1544" w:type="dxa"/>
            <w:vAlign w:val="center"/>
          </w:tcPr>
          <w:p w:rsidR="00E038BF" w:rsidRPr="00B63BC3" w:rsidRDefault="00E038BF" w:rsidP="00E04E7D">
            <w:pPr>
              <w:jc w:val="center"/>
              <w:rPr>
                <w:b/>
              </w:rPr>
            </w:pPr>
            <w:r w:rsidRPr="00B63BC3">
              <w:rPr>
                <w:b/>
              </w:rPr>
              <w:t>Cantidad Solicitada</w:t>
            </w:r>
          </w:p>
        </w:tc>
      </w:tr>
      <w:tr w:rsidR="005B3F41" w:rsidRPr="00F46D9C" w:rsidTr="00805862">
        <w:trPr>
          <w:trHeight w:val="471"/>
          <w:jc w:val="center"/>
        </w:trPr>
        <w:tc>
          <w:tcPr>
            <w:tcW w:w="0" w:type="auto"/>
            <w:vAlign w:val="center"/>
          </w:tcPr>
          <w:p w:rsidR="005B3F41" w:rsidRPr="00C54A5C" w:rsidRDefault="005B3F41" w:rsidP="00E04E7D">
            <w:r>
              <w:t>1</w:t>
            </w:r>
          </w:p>
        </w:tc>
        <w:tc>
          <w:tcPr>
            <w:tcW w:w="5524" w:type="dxa"/>
            <w:vAlign w:val="center"/>
          </w:tcPr>
          <w:p w:rsidR="005B3F41" w:rsidRPr="00FC642A" w:rsidRDefault="005B3F41" w:rsidP="00811E6E">
            <w:pPr>
              <w:autoSpaceDE w:val="0"/>
              <w:autoSpaceDN w:val="0"/>
              <w:adjustRightInd w:val="0"/>
              <w:jc w:val="center"/>
              <w:rPr>
                <w:rFonts w:eastAsia="Calibri" w:cs="Arial"/>
                <w:sz w:val="20"/>
                <w:szCs w:val="20"/>
              </w:rPr>
            </w:pPr>
            <w:r>
              <w:rPr>
                <w:rFonts w:eastAsia="Calibri" w:cs="Arial"/>
                <w:sz w:val="20"/>
                <w:szCs w:val="20"/>
              </w:rPr>
              <w:t>ALCOHOL ETÍLICO 95%</w:t>
            </w:r>
          </w:p>
        </w:tc>
        <w:tc>
          <w:tcPr>
            <w:tcW w:w="1260" w:type="dxa"/>
            <w:vAlign w:val="center"/>
          </w:tcPr>
          <w:p w:rsidR="005B3F41" w:rsidRPr="00FC642A" w:rsidRDefault="005B3F41" w:rsidP="00811E6E">
            <w:pPr>
              <w:autoSpaceDE w:val="0"/>
              <w:autoSpaceDN w:val="0"/>
              <w:adjustRightInd w:val="0"/>
              <w:jc w:val="center"/>
              <w:rPr>
                <w:rFonts w:eastAsia="Calibri" w:cs="Arial"/>
                <w:bCs/>
                <w:sz w:val="20"/>
                <w:szCs w:val="20"/>
              </w:rPr>
            </w:pPr>
            <w:r>
              <w:rPr>
                <w:rFonts w:eastAsia="Calibri" w:cs="Arial"/>
                <w:bCs/>
                <w:sz w:val="20"/>
                <w:szCs w:val="20"/>
              </w:rPr>
              <w:t>GL</w:t>
            </w:r>
          </w:p>
        </w:tc>
        <w:tc>
          <w:tcPr>
            <w:tcW w:w="1544" w:type="dxa"/>
            <w:vAlign w:val="center"/>
          </w:tcPr>
          <w:p w:rsidR="005B3F41" w:rsidRPr="00FC642A" w:rsidRDefault="005B3F41" w:rsidP="00811E6E">
            <w:pPr>
              <w:jc w:val="center"/>
              <w:rPr>
                <w:rFonts w:cs="Arial"/>
                <w:color w:val="000000"/>
                <w:sz w:val="20"/>
                <w:szCs w:val="20"/>
              </w:rPr>
            </w:pPr>
            <w:r>
              <w:rPr>
                <w:rFonts w:cs="Arial"/>
                <w:color w:val="000000"/>
                <w:sz w:val="20"/>
                <w:szCs w:val="20"/>
              </w:rPr>
              <w:t>30</w:t>
            </w:r>
          </w:p>
        </w:tc>
      </w:tr>
      <w:tr w:rsidR="005B3F41" w:rsidRPr="00F46D9C" w:rsidTr="00805862">
        <w:trPr>
          <w:trHeight w:val="471"/>
          <w:jc w:val="center"/>
        </w:trPr>
        <w:tc>
          <w:tcPr>
            <w:tcW w:w="0" w:type="auto"/>
            <w:vAlign w:val="center"/>
          </w:tcPr>
          <w:p w:rsidR="005B3F41" w:rsidRDefault="005B3F41" w:rsidP="00E04E7D">
            <w:r>
              <w:t>2</w:t>
            </w:r>
          </w:p>
        </w:tc>
        <w:tc>
          <w:tcPr>
            <w:tcW w:w="5524" w:type="dxa"/>
            <w:vAlign w:val="center"/>
          </w:tcPr>
          <w:p w:rsidR="005B3F41" w:rsidRPr="00FC642A" w:rsidRDefault="005B3F41" w:rsidP="00811E6E">
            <w:pPr>
              <w:autoSpaceDE w:val="0"/>
              <w:autoSpaceDN w:val="0"/>
              <w:adjustRightInd w:val="0"/>
              <w:jc w:val="center"/>
              <w:rPr>
                <w:rFonts w:eastAsia="Calibri" w:cs="Arial"/>
                <w:sz w:val="20"/>
                <w:szCs w:val="20"/>
              </w:rPr>
            </w:pPr>
            <w:r>
              <w:rPr>
                <w:rFonts w:eastAsia="Calibri" w:cs="Arial"/>
                <w:sz w:val="20"/>
                <w:szCs w:val="20"/>
              </w:rPr>
              <w:t>ALCOHOL ISOPROPÍLICO AL 70%</w:t>
            </w:r>
          </w:p>
        </w:tc>
        <w:tc>
          <w:tcPr>
            <w:tcW w:w="1260" w:type="dxa"/>
            <w:vAlign w:val="center"/>
          </w:tcPr>
          <w:p w:rsidR="005B3F41" w:rsidRPr="00FC642A" w:rsidRDefault="005B3F41" w:rsidP="00811E6E">
            <w:pPr>
              <w:jc w:val="center"/>
              <w:rPr>
                <w:sz w:val="20"/>
                <w:szCs w:val="20"/>
              </w:rPr>
            </w:pPr>
            <w:r>
              <w:rPr>
                <w:sz w:val="20"/>
                <w:szCs w:val="20"/>
              </w:rPr>
              <w:t>GL</w:t>
            </w:r>
          </w:p>
        </w:tc>
        <w:tc>
          <w:tcPr>
            <w:tcW w:w="1544" w:type="dxa"/>
            <w:vAlign w:val="center"/>
          </w:tcPr>
          <w:p w:rsidR="005B3F41" w:rsidRPr="00FC642A" w:rsidRDefault="005B3F41" w:rsidP="00811E6E">
            <w:pPr>
              <w:jc w:val="center"/>
              <w:rPr>
                <w:rFonts w:cs="Arial"/>
                <w:color w:val="000000"/>
                <w:sz w:val="20"/>
                <w:szCs w:val="20"/>
              </w:rPr>
            </w:pPr>
            <w:r>
              <w:rPr>
                <w:rFonts w:cs="Arial"/>
                <w:color w:val="000000"/>
                <w:sz w:val="20"/>
                <w:szCs w:val="20"/>
              </w:rPr>
              <w:t>100</w:t>
            </w:r>
          </w:p>
        </w:tc>
      </w:tr>
    </w:tbl>
    <w:p w:rsidR="00F94E02" w:rsidRDefault="00F94E02" w:rsidP="00E038BF">
      <w:pPr>
        <w:spacing w:after="120"/>
        <w:jc w:val="both"/>
        <w:rPr>
          <w:b/>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04682B" w:rsidRDefault="00E038BF" w:rsidP="007F7CE8">
      <w:pPr>
        <w:spacing w:after="120"/>
        <w:jc w:val="both"/>
      </w:pPr>
      <w:r w:rsidRPr="00056E4B">
        <w:rPr>
          <w:b/>
        </w:rPr>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E038BF" w:rsidRDefault="00E038BF" w:rsidP="00E038BF">
      <w:pPr>
        <w:jc w:val="both"/>
        <w:rPr>
          <w:i/>
        </w:rPr>
      </w:pPr>
      <w:r>
        <w:rPr>
          <w:b/>
        </w:rPr>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5D49A0" w:rsidRDefault="005D49A0" w:rsidP="00E038BF">
      <w:pPr>
        <w:jc w:val="both"/>
        <w:rPr>
          <w:b/>
        </w:rPr>
      </w:pPr>
    </w:p>
    <w:p w:rsidR="00F94E02" w:rsidRDefault="00E038BF" w:rsidP="00E038BF">
      <w:pPr>
        <w:jc w:val="both"/>
      </w:pPr>
      <w:r>
        <w:rPr>
          <w:b/>
        </w:rPr>
        <w:lastRenderedPageBreak/>
        <w:t>CONSIDERANDO:</w:t>
      </w:r>
      <w:r>
        <w:t xml:space="preserve"> Que </w:t>
      </w:r>
      <w:r w:rsidRPr="0044797D">
        <w:t xml:space="preserve">en fecha </w:t>
      </w:r>
      <w:r w:rsidR="005B3F41">
        <w:t>17</w:t>
      </w:r>
      <w:r w:rsidR="0004682B">
        <w:t xml:space="preserve"> de</w:t>
      </w:r>
      <w:r w:rsidR="000F0944">
        <w:t xml:space="preserve"> 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000</w:t>
      </w:r>
      <w:r w:rsidR="005B3F41">
        <w:rPr>
          <w:b/>
        </w:rPr>
        <w:t>5</w:t>
      </w:r>
      <w:r w:rsidRPr="0044797D">
        <w:t>, invita</w:t>
      </w:r>
      <w:r w:rsidR="00494425">
        <w:t>ndo de manera directa a t</w:t>
      </w:r>
      <w:r w:rsidR="006762B3">
        <w:t>res  ( 3</w:t>
      </w:r>
      <w:r w:rsidR="00494425">
        <w:t xml:space="preserve"> </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t>CONSIDERANDO:</w:t>
      </w:r>
      <w:r>
        <w:t xml:space="preserve"> Que concluido dicho plazo se procedió a abrir y dar lectura a las propuestas económicas recibidas y detalladas a continuación:</w:t>
      </w:r>
    </w:p>
    <w:tbl>
      <w:tblPr>
        <w:tblW w:w="8960" w:type="dxa"/>
        <w:tblInd w:w="55" w:type="dxa"/>
        <w:tblCellMar>
          <w:left w:w="70" w:type="dxa"/>
          <w:right w:w="70" w:type="dxa"/>
        </w:tblCellMar>
        <w:tblLook w:val="04A0"/>
      </w:tblPr>
      <w:tblGrid>
        <w:gridCol w:w="462"/>
        <w:gridCol w:w="6540"/>
        <w:gridCol w:w="1958"/>
      </w:tblGrid>
      <w:tr w:rsidR="008B07CD" w:rsidRPr="008B07CD" w:rsidTr="004531B2">
        <w:trPr>
          <w:trHeight w:val="315"/>
        </w:trPr>
        <w:tc>
          <w:tcPr>
            <w:tcW w:w="462"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8B07CD" w:rsidRPr="008B07CD" w:rsidRDefault="008B07CD" w:rsidP="008B07CD">
            <w:pPr>
              <w:spacing w:after="0" w:line="240" w:lineRule="auto"/>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No.</w:t>
            </w:r>
          </w:p>
        </w:tc>
        <w:tc>
          <w:tcPr>
            <w:tcW w:w="6540" w:type="dxa"/>
            <w:tcBorders>
              <w:top w:val="single" w:sz="8" w:space="0" w:color="auto"/>
              <w:left w:val="nil"/>
              <w:bottom w:val="single" w:sz="4" w:space="0" w:color="auto"/>
              <w:right w:val="single" w:sz="8" w:space="0" w:color="000000"/>
            </w:tcBorders>
            <w:shd w:val="clear" w:color="auto" w:fill="auto"/>
            <w:vAlign w:val="bottom"/>
            <w:hideMark/>
          </w:tcPr>
          <w:p w:rsidR="008B07CD" w:rsidRPr="008B07CD" w:rsidRDefault="008B07CD" w:rsidP="00494425">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Proveedor</w:t>
            </w:r>
          </w:p>
        </w:tc>
        <w:tc>
          <w:tcPr>
            <w:tcW w:w="1958" w:type="dxa"/>
            <w:tcBorders>
              <w:top w:val="single" w:sz="8" w:space="0" w:color="auto"/>
              <w:left w:val="nil"/>
              <w:bottom w:val="single" w:sz="4" w:space="0" w:color="auto"/>
              <w:right w:val="single" w:sz="8" w:space="0" w:color="auto"/>
            </w:tcBorders>
            <w:shd w:val="clear" w:color="auto" w:fill="auto"/>
            <w:vAlign w:val="bottom"/>
            <w:hideMark/>
          </w:tcPr>
          <w:p w:rsidR="008B07CD" w:rsidRPr="008B07CD" w:rsidRDefault="008B07CD" w:rsidP="008B07CD">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Monto de la oferta</w:t>
            </w:r>
          </w:p>
        </w:tc>
      </w:tr>
      <w:tr w:rsidR="008B07CD"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EXPERT CLEANER SQE,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243,670</w:t>
            </w:r>
            <w:r>
              <w:rPr>
                <w:rFonts w:ascii="Arial" w:hAnsi="Arial" w:cs="Arial"/>
                <w:b/>
                <w:color w:val="000000"/>
                <w:sz w:val="18"/>
                <w:szCs w:val="18"/>
                <w:shd w:val="clear" w:color="auto" w:fill="FFFFFF"/>
              </w:rPr>
              <w:t>.00</w:t>
            </w:r>
            <w:r w:rsidRPr="005D49A0">
              <w:rPr>
                <w:rFonts w:ascii="Arial" w:hAnsi="Arial" w:cs="Arial"/>
                <w:b/>
                <w:color w:val="000000"/>
                <w:sz w:val="18"/>
                <w:szCs w:val="18"/>
                <w:shd w:val="clear" w:color="auto" w:fill="FFFFFF"/>
              </w:rPr>
              <w:t> </w:t>
            </w:r>
          </w:p>
        </w:tc>
      </w:tr>
      <w:tr w:rsidR="0076341C" w:rsidRPr="008B07CD" w:rsidTr="005B3F41">
        <w:trPr>
          <w:trHeight w:val="323"/>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SUPLIDORES MÉDICOS COMERCIALES SUMEDCOR,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81,420</w:t>
            </w:r>
            <w:r>
              <w:rPr>
                <w:rFonts w:ascii="Arial" w:hAnsi="Arial" w:cs="Arial"/>
                <w:b/>
                <w:color w:val="000000"/>
                <w:sz w:val="18"/>
                <w:szCs w:val="18"/>
                <w:shd w:val="clear" w:color="auto" w:fill="FFFFFF"/>
              </w:rPr>
              <w:t>.00</w:t>
            </w:r>
          </w:p>
        </w:tc>
      </w:tr>
      <w:tr w:rsidR="0076341C" w:rsidRPr="008B07CD" w:rsidTr="005B3F41">
        <w:trPr>
          <w:trHeight w:val="28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POLYSTONE,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211,692</w:t>
            </w:r>
            <w:r>
              <w:rPr>
                <w:rFonts w:ascii="Arial" w:hAnsi="Arial" w:cs="Arial"/>
                <w:b/>
                <w:color w:val="000000"/>
                <w:sz w:val="18"/>
                <w:szCs w:val="18"/>
                <w:shd w:val="clear" w:color="auto" w:fill="FFFFFF"/>
              </w:rPr>
              <w:t>.00</w:t>
            </w:r>
          </w:p>
        </w:tc>
      </w:tr>
      <w:tr w:rsidR="0076341C" w:rsidRPr="005B3F41"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val="en-US" w:eastAsia="es-DO"/>
              </w:rPr>
            </w:pPr>
            <w:r w:rsidRPr="005D49A0">
              <w:rPr>
                <w:rFonts w:ascii="Arial" w:hAnsi="Arial" w:cs="Arial"/>
                <w:b/>
                <w:color w:val="000000"/>
                <w:sz w:val="18"/>
                <w:szCs w:val="18"/>
                <w:shd w:val="clear" w:color="auto" w:fill="FFFFFF"/>
                <w:lang w:val="en-US"/>
              </w:rPr>
              <w:t>GOLDEN GATES REAL ESTATE &amp; MANAGEMENT,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val="en-US" w:eastAsia="es-DO"/>
              </w:rPr>
            </w:pPr>
            <w:r w:rsidRPr="005D49A0">
              <w:rPr>
                <w:rFonts w:ascii="Arial" w:hAnsi="Arial" w:cs="Arial"/>
                <w:b/>
                <w:color w:val="000000"/>
                <w:sz w:val="18"/>
                <w:szCs w:val="18"/>
                <w:shd w:val="clear" w:color="auto" w:fill="FFFFFF"/>
              </w:rPr>
              <w:t>64,900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BRECHEN COMMERCE INTERNATIONAL,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63,800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PADMASANA,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92,040</w:t>
            </w:r>
            <w:r>
              <w:rPr>
                <w:rFonts w:ascii="Arial" w:hAnsi="Arial" w:cs="Arial"/>
                <w:b/>
                <w:color w:val="000000"/>
                <w:sz w:val="18"/>
                <w:szCs w:val="18"/>
                <w:shd w:val="clear" w:color="auto" w:fill="FFFFFF"/>
              </w:rPr>
              <w:t>.00</w:t>
            </w:r>
          </w:p>
        </w:tc>
      </w:tr>
      <w:tr w:rsidR="0076341C" w:rsidRPr="008B07CD" w:rsidTr="005D49A0">
        <w:trPr>
          <w:trHeight w:val="292"/>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jc w:val="center"/>
              <w:rPr>
                <w:rFonts w:ascii="Arial" w:hAnsi="Arial" w:cs="Arial"/>
                <w:b/>
                <w:color w:val="000000"/>
                <w:sz w:val="18"/>
                <w:szCs w:val="18"/>
              </w:rPr>
            </w:pPr>
            <w:r w:rsidRPr="005D49A0">
              <w:rPr>
                <w:rStyle w:val="vortalspan"/>
                <w:rFonts w:ascii="Arial" w:hAnsi="Arial" w:cs="Arial"/>
                <w:b/>
                <w:color w:val="000000"/>
                <w:sz w:val="18"/>
                <w:szCs w:val="18"/>
              </w:rPr>
              <w:t>POHUT COMERCIAL,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50,150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COMERCIALIZADORA GUGENNTAN,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48,852</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jc w:val="center"/>
              <w:rPr>
                <w:rFonts w:ascii="Arial" w:hAnsi="Arial" w:cs="Arial"/>
                <w:b/>
                <w:color w:val="000000"/>
                <w:sz w:val="18"/>
                <w:szCs w:val="18"/>
              </w:rPr>
            </w:pPr>
            <w:r w:rsidRPr="005D49A0">
              <w:rPr>
                <w:rStyle w:val="vortalspan"/>
                <w:rFonts w:ascii="Arial" w:hAnsi="Arial" w:cs="Arial"/>
                <w:b/>
                <w:color w:val="000000"/>
                <w:sz w:val="18"/>
                <w:szCs w:val="18"/>
              </w:rPr>
              <w:t>LITANG INVESTMENTS,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103,840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10</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HOSPIFAR,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94,400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ABASTECIMIENTOS COMERCIALES FJJ,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64,000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INVERSIONES SANFRA,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57,836.52 </w:t>
            </w:r>
          </w:p>
        </w:tc>
      </w:tr>
      <w:tr w:rsidR="0076341C" w:rsidRPr="008B07CD" w:rsidTr="005B3F41">
        <w:trPr>
          <w:trHeight w:val="318"/>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DISTHECA,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59,000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AVG COMERCIAL,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216,530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Calibri" w:eastAsia="Times New Roman" w:hAnsi="Calibri" w:cs="Times New Roman"/>
                <w:b/>
                <w:color w:val="000000"/>
                <w:sz w:val="18"/>
                <w:szCs w:val="18"/>
                <w:lang w:eastAsia="es-DO"/>
              </w:rPr>
              <w:t>15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Arial" w:eastAsia="Times New Roman" w:hAnsi="Arial" w:cs="Arial"/>
                <w:b/>
                <w:color w:val="000000"/>
                <w:sz w:val="18"/>
                <w:szCs w:val="18"/>
                <w:lang w:eastAsia="es-DO"/>
              </w:rPr>
            </w:pPr>
            <w:r w:rsidRPr="005D49A0">
              <w:rPr>
                <w:rFonts w:ascii="Arial" w:hAnsi="Arial" w:cs="Arial"/>
                <w:b/>
                <w:color w:val="000000"/>
                <w:sz w:val="18"/>
                <w:szCs w:val="18"/>
                <w:shd w:val="clear" w:color="auto" w:fill="FFFFFF"/>
              </w:rPr>
              <w:t>SUPLIMECCA,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5D49A0" w:rsidRDefault="005D49A0" w:rsidP="005D49A0">
            <w:pPr>
              <w:spacing w:after="0" w:line="240" w:lineRule="auto"/>
              <w:jc w:val="center"/>
              <w:rPr>
                <w:rFonts w:ascii="Calibri" w:eastAsia="Times New Roman" w:hAnsi="Calibri" w:cs="Times New Roman"/>
                <w:b/>
                <w:color w:val="000000"/>
                <w:sz w:val="18"/>
                <w:szCs w:val="18"/>
                <w:lang w:eastAsia="es-DO"/>
              </w:rPr>
            </w:pPr>
            <w:r w:rsidRPr="005D49A0">
              <w:rPr>
                <w:rFonts w:ascii="Arial" w:hAnsi="Arial" w:cs="Arial"/>
                <w:b/>
                <w:color w:val="000000"/>
                <w:sz w:val="18"/>
                <w:szCs w:val="18"/>
                <w:shd w:val="clear" w:color="auto" w:fill="FFFFFF"/>
              </w:rPr>
              <w:t>70,800</w:t>
            </w:r>
            <w:r>
              <w:rPr>
                <w:rFonts w:ascii="Arial" w:hAnsi="Arial" w:cs="Arial"/>
                <w:b/>
                <w:color w:val="000000"/>
                <w:sz w:val="18"/>
                <w:szCs w:val="18"/>
                <w:shd w:val="clear" w:color="auto" w:fill="FFFFFF"/>
              </w:rPr>
              <w:t>.00</w:t>
            </w:r>
          </w:p>
        </w:tc>
      </w:tr>
    </w:tbl>
    <w:p w:rsidR="00775408" w:rsidRDefault="008B07CD" w:rsidP="005D49A0">
      <w:pPr>
        <w:spacing w:after="0"/>
        <w:jc w:val="both"/>
        <w:rPr>
          <w:sz w:val="18"/>
        </w:rPr>
      </w:pPr>
      <w:r w:rsidRPr="00775408">
        <w:rPr>
          <w:sz w:val="18"/>
        </w:rPr>
        <w:t xml:space="preserve"> </w:t>
      </w:r>
    </w:p>
    <w:p w:rsidR="00775408" w:rsidRPr="00775408" w:rsidRDefault="00775408" w:rsidP="00006BE8">
      <w:pPr>
        <w:spacing w:after="0"/>
        <w:jc w:val="both"/>
        <w:rPr>
          <w:sz w:val="18"/>
        </w:rPr>
      </w:pPr>
    </w:p>
    <w:p w:rsidR="00775408" w:rsidRDefault="00775408" w:rsidP="00006BE8">
      <w:pPr>
        <w:spacing w:after="0"/>
        <w:jc w:val="both"/>
        <w:rPr>
          <w:sz w:val="18"/>
        </w:rPr>
      </w:pPr>
    </w:p>
    <w:p w:rsidR="00780681" w:rsidRDefault="00780681"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494425">
      <w:pPr>
        <w:spacing w:after="0" w:line="240" w:lineRule="auto"/>
        <w:jc w:val="center"/>
        <w:rPr>
          <w:b/>
        </w:rPr>
      </w:pPr>
    </w:p>
    <w:p w:rsidR="00AE57AC" w:rsidRDefault="00AE57AC" w:rsidP="00494425">
      <w:pPr>
        <w:spacing w:after="0" w:line="240" w:lineRule="auto"/>
        <w:jc w:val="center"/>
        <w:rPr>
          <w:b/>
        </w:rPr>
      </w:pPr>
    </w:p>
    <w:p w:rsidR="00F72E63" w:rsidRDefault="00F72E63" w:rsidP="00494425">
      <w:pPr>
        <w:spacing w:after="0" w:line="240" w:lineRule="auto"/>
        <w:jc w:val="center"/>
        <w:rPr>
          <w:b/>
        </w:rPr>
      </w:pPr>
    </w:p>
    <w:sectPr w:rsidR="00F72E63" w:rsidSect="006255B0">
      <w:headerReference w:type="default" r:id="rId8"/>
      <w:footerReference w:type="default" r:id="rId9"/>
      <w:pgSz w:w="12240" w:h="15840"/>
      <w:pgMar w:top="1417"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9B" w:rsidRDefault="0074409B" w:rsidP="002B00DF">
      <w:pPr>
        <w:spacing w:after="0" w:line="240" w:lineRule="auto"/>
      </w:pPr>
      <w:r>
        <w:separator/>
      </w:r>
    </w:p>
  </w:endnote>
  <w:endnote w:type="continuationSeparator" w:id="0">
    <w:p w:rsidR="0074409B" w:rsidRDefault="0074409B"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9B" w:rsidRDefault="007440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9B" w:rsidRDefault="0074409B" w:rsidP="002B00DF">
      <w:pPr>
        <w:spacing w:after="0" w:line="240" w:lineRule="auto"/>
      </w:pPr>
      <w:r>
        <w:separator/>
      </w:r>
    </w:p>
  </w:footnote>
  <w:footnote w:type="continuationSeparator" w:id="0">
    <w:p w:rsidR="0074409B" w:rsidRDefault="0074409B"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9B" w:rsidRDefault="0074409B" w:rsidP="002B00DF">
    <w:pPr>
      <w:pStyle w:val="Encabezado"/>
      <w:jc w:val="center"/>
    </w:pPr>
    <w:r w:rsidRPr="002B00DF">
      <w:rPr>
        <w:noProof/>
        <w:lang w:eastAsia="es-DO"/>
      </w:rPr>
      <w:drawing>
        <wp:inline distT="0" distB="0" distL="0" distR="0">
          <wp:extent cx="2342012" cy="113276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2342400" cy="1132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528B8"/>
    <w:multiLevelType w:val="hybridMultilevel"/>
    <w:tmpl w:val="07FA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22E9"/>
    <w:rsid w:val="0004381B"/>
    <w:rsid w:val="00043845"/>
    <w:rsid w:val="0004682B"/>
    <w:rsid w:val="000544D5"/>
    <w:rsid w:val="00056E4B"/>
    <w:rsid w:val="00090637"/>
    <w:rsid w:val="0009204A"/>
    <w:rsid w:val="00093E2E"/>
    <w:rsid w:val="00095A51"/>
    <w:rsid w:val="000A084B"/>
    <w:rsid w:val="000D7AE0"/>
    <w:rsid w:val="000F0944"/>
    <w:rsid w:val="00103EBC"/>
    <w:rsid w:val="00164BC2"/>
    <w:rsid w:val="001848B5"/>
    <w:rsid w:val="00192057"/>
    <w:rsid w:val="001A5992"/>
    <w:rsid w:val="001C1938"/>
    <w:rsid w:val="001D5A66"/>
    <w:rsid w:val="001E6CB4"/>
    <w:rsid w:val="00203C03"/>
    <w:rsid w:val="00226104"/>
    <w:rsid w:val="00260753"/>
    <w:rsid w:val="0026498A"/>
    <w:rsid w:val="00272C30"/>
    <w:rsid w:val="00287B0F"/>
    <w:rsid w:val="00290214"/>
    <w:rsid w:val="00294E00"/>
    <w:rsid w:val="002B00DF"/>
    <w:rsid w:val="002B0D73"/>
    <w:rsid w:val="002C05FC"/>
    <w:rsid w:val="002C4D70"/>
    <w:rsid w:val="002C6099"/>
    <w:rsid w:val="002D6C2E"/>
    <w:rsid w:val="002E2DA2"/>
    <w:rsid w:val="002F6120"/>
    <w:rsid w:val="00302DC0"/>
    <w:rsid w:val="00334EC8"/>
    <w:rsid w:val="00345F50"/>
    <w:rsid w:val="0035108A"/>
    <w:rsid w:val="00351D4D"/>
    <w:rsid w:val="00394396"/>
    <w:rsid w:val="003A3BB7"/>
    <w:rsid w:val="003E2A5B"/>
    <w:rsid w:val="003F7674"/>
    <w:rsid w:val="004131C4"/>
    <w:rsid w:val="00414269"/>
    <w:rsid w:val="00441301"/>
    <w:rsid w:val="0044797D"/>
    <w:rsid w:val="004531B2"/>
    <w:rsid w:val="00461200"/>
    <w:rsid w:val="0046581B"/>
    <w:rsid w:val="00482364"/>
    <w:rsid w:val="00494425"/>
    <w:rsid w:val="004B270C"/>
    <w:rsid w:val="004D63D9"/>
    <w:rsid w:val="004E588B"/>
    <w:rsid w:val="005006A2"/>
    <w:rsid w:val="00504552"/>
    <w:rsid w:val="00511B0B"/>
    <w:rsid w:val="00531CAC"/>
    <w:rsid w:val="00542102"/>
    <w:rsid w:val="00545838"/>
    <w:rsid w:val="005463C1"/>
    <w:rsid w:val="0056658B"/>
    <w:rsid w:val="00596502"/>
    <w:rsid w:val="005B3F41"/>
    <w:rsid w:val="005C53C7"/>
    <w:rsid w:val="005D49A0"/>
    <w:rsid w:val="005D4DF6"/>
    <w:rsid w:val="005E1B64"/>
    <w:rsid w:val="006144B5"/>
    <w:rsid w:val="006148DE"/>
    <w:rsid w:val="0062283C"/>
    <w:rsid w:val="006255B0"/>
    <w:rsid w:val="00632EA7"/>
    <w:rsid w:val="006762B3"/>
    <w:rsid w:val="00680BC2"/>
    <w:rsid w:val="00682040"/>
    <w:rsid w:val="006915CA"/>
    <w:rsid w:val="00696CA5"/>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4409B"/>
    <w:rsid w:val="00756CD8"/>
    <w:rsid w:val="0076341C"/>
    <w:rsid w:val="00767B41"/>
    <w:rsid w:val="00775408"/>
    <w:rsid w:val="00780681"/>
    <w:rsid w:val="007B52B9"/>
    <w:rsid w:val="007D64E7"/>
    <w:rsid w:val="007E3677"/>
    <w:rsid w:val="007F7CE8"/>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5265"/>
    <w:rsid w:val="009443DE"/>
    <w:rsid w:val="00954B45"/>
    <w:rsid w:val="00956789"/>
    <w:rsid w:val="0096476B"/>
    <w:rsid w:val="00981F4E"/>
    <w:rsid w:val="009921C3"/>
    <w:rsid w:val="009B3CC5"/>
    <w:rsid w:val="009C5640"/>
    <w:rsid w:val="009D2A92"/>
    <w:rsid w:val="009F5F40"/>
    <w:rsid w:val="00A135C4"/>
    <w:rsid w:val="00A16986"/>
    <w:rsid w:val="00A637FB"/>
    <w:rsid w:val="00A76B30"/>
    <w:rsid w:val="00A96EE4"/>
    <w:rsid w:val="00AB6E8E"/>
    <w:rsid w:val="00AC033F"/>
    <w:rsid w:val="00AE4B08"/>
    <w:rsid w:val="00AE57AC"/>
    <w:rsid w:val="00AF70AD"/>
    <w:rsid w:val="00B03624"/>
    <w:rsid w:val="00B17AB4"/>
    <w:rsid w:val="00B2290C"/>
    <w:rsid w:val="00B238C1"/>
    <w:rsid w:val="00B42ECF"/>
    <w:rsid w:val="00B56FE0"/>
    <w:rsid w:val="00B820BD"/>
    <w:rsid w:val="00B913A7"/>
    <w:rsid w:val="00B95E62"/>
    <w:rsid w:val="00B95EDF"/>
    <w:rsid w:val="00B979F7"/>
    <w:rsid w:val="00BB6BCC"/>
    <w:rsid w:val="00BD60D5"/>
    <w:rsid w:val="00BF642A"/>
    <w:rsid w:val="00C04BCA"/>
    <w:rsid w:val="00C05CA2"/>
    <w:rsid w:val="00C15857"/>
    <w:rsid w:val="00C625DB"/>
    <w:rsid w:val="00C7190A"/>
    <w:rsid w:val="00C80F1A"/>
    <w:rsid w:val="00C8497C"/>
    <w:rsid w:val="00C95F26"/>
    <w:rsid w:val="00CA1761"/>
    <w:rsid w:val="00CB0A2F"/>
    <w:rsid w:val="00CC744F"/>
    <w:rsid w:val="00CC7AE5"/>
    <w:rsid w:val="00CD5C4D"/>
    <w:rsid w:val="00CF06EC"/>
    <w:rsid w:val="00CF3AF6"/>
    <w:rsid w:val="00CF5271"/>
    <w:rsid w:val="00D1101A"/>
    <w:rsid w:val="00D14312"/>
    <w:rsid w:val="00D14A8D"/>
    <w:rsid w:val="00D15287"/>
    <w:rsid w:val="00D34B4D"/>
    <w:rsid w:val="00D35FC8"/>
    <w:rsid w:val="00D443AA"/>
    <w:rsid w:val="00D64CD9"/>
    <w:rsid w:val="00DA4096"/>
    <w:rsid w:val="00DC452D"/>
    <w:rsid w:val="00DD0689"/>
    <w:rsid w:val="00DD57BD"/>
    <w:rsid w:val="00DF75F9"/>
    <w:rsid w:val="00E01C1F"/>
    <w:rsid w:val="00E038BF"/>
    <w:rsid w:val="00E04E7D"/>
    <w:rsid w:val="00E13074"/>
    <w:rsid w:val="00E14ED6"/>
    <w:rsid w:val="00E33720"/>
    <w:rsid w:val="00E34486"/>
    <w:rsid w:val="00E35573"/>
    <w:rsid w:val="00E448E0"/>
    <w:rsid w:val="00E47D03"/>
    <w:rsid w:val="00E65388"/>
    <w:rsid w:val="00E75DE0"/>
    <w:rsid w:val="00E9286F"/>
    <w:rsid w:val="00EC0DC4"/>
    <w:rsid w:val="00EC1124"/>
    <w:rsid w:val="00EF16AB"/>
    <w:rsid w:val="00F13C0F"/>
    <w:rsid w:val="00F17FD5"/>
    <w:rsid w:val="00F4251E"/>
    <w:rsid w:val="00F52147"/>
    <w:rsid w:val="00F72E63"/>
    <w:rsid w:val="00F81527"/>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 w:type="character" w:customStyle="1" w:styleId="il">
    <w:name w:val="il"/>
    <w:basedOn w:val="Fuentedeprrafopredeter"/>
    <w:rsid w:val="005006A2"/>
  </w:style>
  <w:style w:type="paragraph" w:styleId="Sinespaciado">
    <w:name w:val="No Spacing"/>
    <w:uiPriority w:val="1"/>
    <w:qFormat/>
    <w:rsid w:val="009567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425469388">
      <w:bodyDiv w:val="1"/>
      <w:marLeft w:val="0"/>
      <w:marRight w:val="0"/>
      <w:marTop w:val="0"/>
      <w:marBottom w:val="0"/>
      <w:divBdr>
        <w:top w:val="none" w:sz="0" w:space="0" w:color="auto"/>
        <w:left w:val="none" w:sz="0" w:space="0" w:color="auto"/>
        <w:bottom w:val="none" w:sz="0" w:space="0" w:color="auto"/>
        <w:right w:val="none" w:sz="0" w:space="0" w:color="auto"/>
      </w:divBdr>
    </w:div>
    <w:div w:id="523329093">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1033651965">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272275176">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30E0E-57F4-4D5F-9BC5-2CE638F1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rmoreno</cp:lastModifiedBy>
  <cp:revision>12</cp:revision>
  <cp:lastPrinted>2022-03-25T13:01:00Z</cp:lastPrinted>
  <dcterms:created xsi:type="dcterms:W3CDTF">2021-05-17T18:25:00Z</dcterms:created>
  <dcterms:modified xsi:type="dcterms:W3CDTF">2022-03-25T13:01:00Z</dcterms:modified>
</cp:coreProperties>
</file>