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8D" w:rsidRPr="003E4EAF" w:rsidRDefault="00CE0D8A" w:rsidP="003E4EAF">
      <w:pPr>
        <w:spacing w:after="0"/>
        <w:jc w:val="center"/>
        <w:rPr>
          <w:rFonts w:asciiTheme="majorHAnsi" w:hAnsiTheme="majorHAnsi" w:cs="Times New Roman"/>
          <w:b/>
          <w:sz w:val="28"/>
          <w:szCs w:val="28"/>
          <w:u w:val="single"/>
        </w:rPr>
      </w:pPr>
      <w:r w:rsidRPr="003E4EAF">
        <w:rPr>
          <w:rFonts w:asciiTheme="majorHAnsi" w:hAnsiTheme="majorHAnsi" w:cs="Times New Roman"/>
          <w:b/>
          <w:sz w:val="28"/>
          <w:szCs w:val="28"/>
          <w:u w:val="single"/>
        </w:rPr>
        <w:t>TÉ</w:t>
      </w:r>
      <w:r w:rsidR="00A11519" w:rsidRPr="003E4EAF">
        <w:rPr>
          <w:rFonts w:asciiTheme="majorHAnsi" w:hAnsiTheme="majorHAnsi" w:cs="Times New Roman"/>
          <w:b/>
          <w:sz w:val="28"/>
          <w:szCs w:val="28"/>
          <w:u w:val="single"/>
        </w:rPr>
        <w:t xml:space="preserve">RMINOS </w:t>
      </w:r>
      <w:r w:rsidR="00741C33" w:rsidRPr="003E4EAF">
        <w:rPr>
          <w:rFonts w:asciiTheme="majorHAnsi" w:hAnsiTheme="majorHAnsi" w:cs="Times New Roman"/>
          <w:b/>
          <w:sz w:val="28"/>
          <w:szCs w:val="28"/>
          <w:u w:val="single"/>
        </w:rPr>
        <w:t xml:space="preserve">DE REFERENCIA </w:t>
      </w:r>
      <w:r w:rsidR="00C4458D" w:rsidRPr="003E4EAF">
        <w:rPr>
          <w:rFonts w:asciiTheme="majorHAnsi" w:hAnsiTheme="majorHAnsi" w:cs="Times New Roman"/>
          <w:b/>
          <w:sz w:val="28"/>
          <w:szCs w:val="28"/>
          <w:u w:val="single"/>
        </w:rPr>
        <w:t xml:space="preserve">O FICHA </w:t>
      </w:r>
      <w:r w:rsidR="00931B8C" w:rsidRPr="003E4EAF">
        <w:rPr>
          <w:rFonts w:asciiTheme="majorHAnsi" w:hAnsiTheme="majorHAnsi" w:cs="Times New Roman"/>
          <w:b/>
          <w:sz w:val="28"/>
          <w:szCs w:val="28"/>
          <w:u w:val="single"/>
        </w:rPr>
        <w:t>TÉCNICA</w:t>
      </w:r>
    </w:p>
    <w:p w:rsidR="003E4EAF" w:rsidRPr="003E4EAF" w:rsidRDefault="003E4EAF" w:rsidP="003E4EAF">
      <w:pPr>
        <w:jc w:val="center"/>
        <w:rPr>
          <w:rFonts w:asciiTheme="majorHAnsi" w:eastAsia="Calibri" w:hAnsiTheme="majorHAnsi" w:cs="Times New Roman"/>
          <w:b/>
          <w:sz w:val="28"/>
          <w:szCs w:val="28"/>
          <w:u w:val="single"/>
          <w:lang w:val="es-ES"/>
        </w:rPr>
      </w:pPr>
      <w:r w:rsidRPr="003E4EAF">
        <w:rPr>
          <w:rFonts w:asciiTheme="majorHAnsi" w:eastAsia="Calibri" w:hAnsiTheme="majorHAnsi" w:cs="Times New Roman"/>
          <w:b/>
          <w:sz w:val="28"/>
          <w:szCs w:val="28"/>
          <w:u w:val="single"/>
          <w:lang w:val="es-ES"/>
        </w:rPr>
        <w:t>ADQUISICIÓN DE ALCOHOL ISOPROPÍLICO Y ETÍLICO PARA USO DEL DEPARTAMENTO DE CONSERVACIÓN Y SERVICIOS TÉCNICOS  DE ESTE AGN</w:t>
      </w:r>
    </w:p>
    <w:p w:rsidR="00840031" w:rsidRPr="003E4EAF" w:rsidRDefault="003E4EAF" w:rsidP="00840031">
      <w:pPr>
        <w:jc w:val="center"/>
        <w:rPr>
          <w:rFonts w:asciiTheme="majorHAnsi" w:hAnsiTheme="majorHAnsi" w:cs="Times New Roman"/>
          <w:b/>
          <w:bCs/>
          <w:sz w:val="28"/>
          <w:szCs w:val="28"/>
          <w:u w:val="single"/>
        </w:rPr>
      </w:pPr>
      <w:r w:rsidRPr="003E4EAF">
        <w:rPr>
          <w:rFonts w:asciiTheme="majorHAnsi" w:hAnsiTheme="majorHAnsi" w:cs="Times New Roman"/>
          <w:b/>
          <w:bCs/>
          <w:sz w:val="28"/>
          <w:szCs w:val="28"/>
          <w:u w:val="single"/>
        </w:rPr>
        <w:t xml:space="preserve"> </w:t>
      </w:r>
      <w:sdt>
        <w:sdtPr>
          <w:rPr>
            <w:rFonts w:asciiTheme="majorHAnsi" w:hAnsiTheme="majorHAnsi" w:cs="Times New Roman"/>
            <w:b/>
            <w:bCs/>
            <w:sz w:val="28"/>
            <w:szCs w:val="28"/>
            <w:u w:val="single"/>
          </w:rPr>
          <w:alias w:val="No. del Expediente de Compras "/>
          <w:tag w:val="No. del Expediente de Compras "/>
          <w:id w:val="13417747"/>
        </w:sdtPr>
        <w:sdtContent>
          <w:r>
            <w:rPr>
              <w:rFonts w:asciiTheme="majorHAnsi" w:hAnsiTheme="majorHAnsi" w:cs="Times New Roman"/>
              <w:b/>
              <w:bCs/>
              <w:sz w:val="28"/>
              <w:szCs w:val="28"/>
              <w:u w:val="single"/>
            </w:rPr>
            <w:t>AGN-DAF-CM-2022-000</w:t>
          </w:r>
          <w:r w:rsidR="0088524A" w:rsidRPr="003E4EAF">
            <w:rPr>
              <w:rFonts w:asciiTheme="majorHAnsi" w:hAnsiTheme="majorHAnsi" w:cs="Times New Roman"/>
              <w:b/>
              <w:bCs/>
              <w:sz w:val="28"/>
              <w:szCs w:val="28"/>
              <w:u w:val="single"/>
            </w:rPr>
            <w:t>5</w:t>
          </w:r>
        </w:sdtContent>
      </w:sdt>
    </w:p>
    <w:p w:rsidR="00A11519" w:rsidRDefault="00A11519" w:rsidP="00840031">
      <w:pPr>
        <w:jc w:val="both"/>
        <w:rPr>
          <w:sz w:val="24"/>
        </w:rPr>
      </w:pPr>
      <w:r>
        <w:rPr>
          <w:b/>
          <w:sz w:val="24"/>
          <w:u w:val="single"/>
        </w:rPr>
        <w:t>OBJETIVO</w:t>
      </w:r>
      <w:r w:rsidR="005E4427">
        <w:rPr>
          <w:b/>
          <w:sz w:val="24"/>
          <w:u w:val="single"/>
        </w:rPr>
        <w:t>:</w:t>
      </w:r>
    </w:p>
    <w:p w:rsidR="00AD5A3D" w:rsidRPr="00AD5A3D" w:rsidRDefault="005E4427" w:rsidP="00AD5A3D">
      <w:pPr>
        <w:spacing w:after="120"/>
        <w:jc w:val="both"/>
        <w:rPr>
          <w:b/>
          <w:bCs/>
          <w:u w:val="single"/>
          <w:lang w:val="es-ES"/>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9A294E">
        <w:t>o de c</w:t>
      </w:r>
      <w:r w:rsidR="00273DFC">
        <w:t>ompra</w:t>
      </w:r>
      <w:r w:rsidR="0011386B">
        <w:t xml:space="preserve"> menor</w:t>
      </w:r>
      <w:r w:rsidRPr="00E43304">
        <w:t xml:space="preserve">: </w:t>
      </w:r>
      <w:r w:rsidR="003E4EAF" w:rsidRPr="003E4EAF">
        <w:rPr>
          <w:b/>
          <w:bCs/>
          <w:lang w:val="es-ES"/>
        </w:rPr>
        <w:t>ADQUISICIÓN DE ALCOHOL ISOPROPÍLICO Y ETÍLICO PARA USO DEL DEPARTAMENTO DE CONSERVACIÓN Y SERVICIOS TÉCNICOS  DE ESTE AGN</w:t>
      </w:r>
      <w:r w:rsidR="00AD5A3D" w:rsidRPr="003E4EAF">
        <w:rPr>
          <w:b/>
          <w:bCs/>
          <w:lang w:val="es-ES"/>
        </w:rPr>
        <w:t>.</w:t>
      </w:r>
      <w:r w:rsidR="00AD5A3D" w:rsidRPr="00AD5A3D">
        <w:rPr>
          <w:b/>
          <w:bCs/>
          <w:u w:val="single"/>
          <w:lang w:val="es-ES"/>
        </w:rPr>
        <w:t xml:space="preserve"> </w:t>
      </w:r>
    </w:p>
    <w:p w:rsidR="00911B2D" w:rsidRPr="00911B2D" w:rsidRDefault="005E4427" w:rsidP="00D21B01">
      <w:pPr>
        <w:spacing w:after="120"/>
        <w:jc w:val="both"/>
        <w:rPr>
          <w:b/>
        </w:rPr>
      </w:pPr>
      <w:r w:rsidRPr="00741C33">
        <w:rPr>
          <w:b/>
        </w:rPr>
        <w:t xml:space="preserve"> </w:t>
      </w:r>
    </w:p>
    <w:p w:rsidR="00CC5B87" w:rsidRPr="00755A69" w:rsidRDefault="00CC5B87" w:rsidP="00CC5B87">
      <w:pPr>
        <w:pStyle w:val="Default"/>
        <w:rPr>
          <w:rFonts w:asciiTheme="minorHAnsi" w:hAnsiTheme="minorHAnsi"/>
          <w:b/>
          <w:bCs/>
          <w:szCs w:val="22"/>
          <w:u w:val="single"/>
        </w:rPr>
      </w:pPr>
      <w:r>
        <w:rPr>
          <w:rFonts w:asciiTheme="minorHAnsi" w:hAnsiTheme="minorHAnsi"/>
          <w:b/>
          <w:bCs/>
          <w:szCs w:val="22"/>
          <w:u w:val="single"/>
        </w:rPr>
        <w:t>PRESENTACIÓ</w:t>
      </w:r>
      <w:r w:rsidRPr="00755A69">
        <w:rPr>
          <w:rFonts w:asciiTheme="minorHAnsi" w:hAnsiTheme="minorHAnsi"/>
          <w:b/>
          <w:bCs/>
          <w:szCs w:val="22"/>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Pr="006B191E"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 xml:space="preserve">En caso de enviar vía correo electrónico, enviar dos únicos archivos en formato PDF, uno indicando </w:t>
      </w:r>
      <w:r w:rsidR="00E45B47" w:rsidRPr="00E45B47">
        <w:rPr>
          <w:rFonts w:asciiTheme="minorHAnsi" w:hAnsiTheme="minorHAnsi"/>
          <w:b/>
          <w:sz w:val="22"/>
          <w:szCs w:val="22"/>
        </w:rPr>
        <w:t>oferta técnica</w:t>
      </w:r>
      <w:r w:rsidR="00E45B47">
        <w:rPr>
          <w:rFonts w:asciiTheme="minorHAnsi" w:hAnsiTheme="minorHAnsi"/>
          <w:sz w:val="22"/>
          <w:szCs w:val="22"/>
        </w:rPr>
        <w:t xml:space="preserve"> </w:t>
      </w:r>
      <w:r>
        <w:rPr>
          <w:rFonts w:asciiTheme="minorHAnsi" w:hAnsiTheme="minorHAnsi"/>
          <w:sz w:val="22"/>
          <w:szCs w:val="22"/>
        </w:rPr>
        <w:t xml:space="preserve">y </w:t>
      </w:r>
      <w:r w:rsidR="009D6FF5">
        <w:rPr>
          <w:rFonts w:asciiTheme="minorHAnsi" w:hAnsiTheme="minorHAnsi"/>
          <w:sz w:val="22"/>
          <w:szCs w:val="22"/>
        </w:rPr>
        <w:t>otra</w:t>
      </w:r>
      <w:r>
        <w:rPr>
          <w:rFonts w:asciiTheme="minorHAnsi" w:hAnsiTheme="minorHAnsi"/>
          <w:sz w:val="22"/>
          <w:szCs w:val="22"/>
        </w:rPr>
        <w:t xml:space="preserve"> </w:t>
      </w:r>
      <w:r w:rsidR="00E45B47" w:rsidRPr="00E45B47">
        <w:rPr>
          <w:rFonts w:asciiTheme="minorHAnsi" w:hAnsiTheme="minorHAnsi"/>
          <w:b/>
          <w:sz w:val="22"/>
          <w:szCs w:val="22"/>
        </w:rPr>
        <w:t>oferta económica</w:t>
      </w:r>
      <w:r>
        <w:rPr>
          <w:rFonts w:asciiTheme="minorHAnsi" w:hAnsiTheme="minorHAnsi"/>
          <w:sz w:val="22"/>
          <w:szCs w:val="22"/>
        </w:rPr>
        <w:t>.</w:t>
      </w:r>
      <w:r w:rsidR="00E43304" w:rsidRPr="006B191E">
        <w:rPr>
          <w:rFonts w:asciiTheme="minorHAnsi" w:hAnsiTheme="minorHAnsi"/>
          <w:sz w:val="22"/>
          <w:szCs w:val="22"/>
        </w:rPr>
        <w:t xml:space="preserve"> </w:t>
      </w:r>
    </w:p>
    <w:p w:rsidR="002E3B53" w:rsidRPr="00741C33" w:rsidRDefault="002E3B53" w:rsidP="00DD7FA1">
      <w:pPr>
        <w:pStyle w:val="Default"/>
        <w:jc w:val="both"/>
        <w:rPr>
          <w:rFonts w:asciiTheme="minorHAnsi" w:hAnsiTheme="minorHAnsi"/>
          <w:sz w:val="18"/>
          <w:szCs w:val="22"/>
        </w:rPr>
      </w:pPr>
    </w:p>
    <w:p w:rsidR="00AB432A" w:rsidRPr="00E533CC" w:rsidRDefault="00AB432A" w:rsidP="00D21B01">
      <w:pPr>
        <w:pStyle w:val="Default"/>
        <w:rPr>
          <w:rFonts w:asciiTheme="minorHAnsi" w:hAnsiTheme="minorHAnsi"/>
          <w:b/>
          <w:sz w:val="16"/>
          <w:szCs w:val="22"/>
          <w:u w:val="single"/>
        </w:rPr>
      </w:pPr>
    </w:p>
    <w:p w:rsidR="00311F3A" w:rsidRDefault="00311F3A" w:rsidP="00D21B01">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A022D1" w:rsidRPr="00E533CC" w:rsidRDefault="00AD08DA" w:rsidP="00311F3A">
      <w:pPr>
        <w:pStyle w:val="Default"/>
        <w:rPr>
          <w:rFonts w:asciiTheme="minorHAnsi" w:hAnsiTheme="minorHAnsi"/>
          <w:b/>
          <w:sz w:val="14"/>
          <w:szCs w:val="22"/>
        </w:rPr>
      </w:pPr>
      <w:r>
        <w:rPr>
          <w:rFonts w:asciiTheme="minorHAnsi" w:hAnsiTheme="minorHAnsi"/>
          <w:b/>
          <w:szCs w:val="22"/>
        </w:rPr>
        <w:tab/>
      </w:r>
    </w:p>
    <w:p w:rsidR="008B31E6" w:rsidRDefault="000E5623" w:rsidP="00A022D1">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00AD08DA" w:rsidRPr="00AD08DA">
        <w:rPr>
          <w:rFonts w:asciiTheme="minorHAnsi" w:hAnsiTheme="minorHAnsi"/>
          <w:b/>
          <w:szCs w:val="22"/>
          <w:u w:val="single"/>
        </w:rPr>
        <w:t xml:space="preserve">OFERTA </w:t>
      </w:r>
      <w:r w:rsidR="00931B8C" w:rsidRPr="00AD08DA">
        <w:rPr>
          <w:rFonts w:asciiTheme="minorHAnsi" w:hAnsiTheme="minorHAnsi"/>
          <w:b/>
          <w:szCs w:val="22"/>
          <w:u w:val="single"/>
        </w:rPr>
        <w:t>TÉCNICA</w:t>
      </w:r>
      <w:r w:rsidR="00AD08DA" w:rsidRPr="00AD08DA">
        <w:rPr>
          <w:rFonts w:asciiTheme="minorHAnsi" w:hAnsiTheme="minorHAnsi"/>
          <w:b/>
          <w:szCs w:val="22"/>
          <w:u w:val="single"/>
        </w:rPr>
        <w:t>:</w:t>
      </w:r>
    </w:p>
    <w:p w:rsidR="00311F3A" w:rsidRPr="00E217B1" w:rsidRDefault="00311F3A" w:rsidP="00A46005">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sidR="00B627FA">
        <w:rPr>
          <w:rFonts w:asciiTheme="minorHAnsi" w:hAnsiTheme="minorHAnsi"/>
          <w:sz w:val="22"/>
          <w:szCs w:val="22"/>
        </w:rPr>
        <w:t xml:space="preserve"> vigente</w:t>
      </w:r>
      <w:r w:rsidRPr="00E217B1">
        <w:rPr>
          <w:rFonts w:asciiTheme="minorHAnsi" w:hAnsiTheme="minorHAnsi"/>
          <w:sz w:val="22"/>
          <w:szCs w:val="22"/>
        </w:rPr>
        <w:t xml:space="preserve">. </w:t>
      </w:r>
    </w:p>
    <w:p w:rsidR="00311F3A" w:rsidRPr="00E217B1" w:rsidRDefault="00311F3A" w:rsidP="00A46005">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sidR="00B627FA">
        <w:rPr>
          <w:rFonts w:asciiTheme="minorHAnsi" w:hAnsiTheme="minorHAnsi"/>
          <w:sz w:val="22"/>
          <w:szCs w:val="22"/>
        </w:rPr>
        <w:t xml:space="preserve"> vigente</w:t>
      </w:r>
      <w:r w:rsidRPr="00E217B1">
        <w:rPr>
          <w:rFonts w:asciiTheme="minorHAnsi" w:hAnsiTheme="minorHAnsi"/>
          <w:sz w:val="22"/>
          <w:szCs w:val="22"/>
        </w:rPr>
        <w:t xml:space="preserve">. </w:t>
      </w:r>
    </w:p>
    <w:p w:rsidR="000B01DE" w:rsidRDefault="00311F3A" w:rsidP="00A46005">
      <w:pPr>
        <w:pStyle w:val="Default"/>
        <w:numPr>
          <w:ilvl w:val="0"/>
          <w:numId w:val="5"/>
        </w:numPr>
        <w:jc w:val="both"/>
        <w:rPr>
          <w:rFonts w:asciiTheme="minorHAnsi" w:hAnsiTheme="minorHAnsi"/>
          <w:sz w:val="22"/>
          <w:szCs w:val="22"/>
        </w:rPr>
      </w:pPr>
      <w:r w:rsidRPr="000B01DE">
        <w:rPr>
          <w:rFonts w:asciiTheme="minorHAnsi" w:hAnsiTheme="minorHAnsi"/>
          <w:sz w:val="22"/>
          <w:szCs w:val="22"/>
        </w:rPr>
        <w:t xml:space="preserve">Registro de Proveedor del Estado (RPE) </w:t>
      </w:r>
      <w:r w:rsidR="00B627FA" w:rsidRPr="000B01DE">
        <w:rPr>
          <w:rFonts w:asciiTheme="minorHAnsi" w:hAnsiTheme="minorHAnsi"/>
          <w:sz w:val="22"/>
          <w:szCs w:val="22"/>
        </w:rPr>
        <w:t xml:space="preserve">actualizado y </w:t>
      </w:r>
      <w:r w:rsidRPr="000B01DE">
        <w:rPr>
          <w:rFonts w:asciiTheme="minorHAnsi" w:hAnsiTheme="minorHAnsi"/>
          <w:sz w:val="22"/>
          <w:szCs w:val="22"/>
        </w:rPr>
        <w:t>con Registro de Beneficiario.</w:t>
      </w:r>
    </w:p>
    <w:p w:rsidR="00612683" w:rsidRPr="00612683" w:rsidRDefault="00612683" w:rsidP="0061268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Certificación del Ministerio de Industria y Comercio que le a</w:t>
      </w:r>
      <w:r w:rsidR="00AD5A3D">
        <w:rPr>
          <w:rFonts w:ascii="Calibri" w:hAnsi="Calibri" w:cs="Calibri"/>
          <w:color w:val="000000"/>
        </w:rPr>
        <w:t xml:space="preserve">credita como </w:t>
      </w:r>
      <w:r w:rsidR="00AD5A3D" w:rsidRPr="00AD5A3D">
        <w:rPr>
          <w:rFonts w:ascii="Calibri" w:hAnsi="Calibri" w:cs="Calibri"/>
          <w:b/>
          <w:color w:val="000000"/>
        </w:rPr>
        <w:t>MIPYMES.</w:t>
      </w:r>
      <w:r w:rsidR="00AD5A3D">
        <w:rPr>
          <w:rFonts w:ascii="Calibri" w:hAnsi="Calibri" w:cs="Calibri"/>
          <w:color w:val="000000"/>
        </w:rPr>
        <w:t xml:space="preserve"> </w:t>
      </w:r>
      <w:r w:rsidR="003E4EAF">
        <w:rPr>
          <w:rFonts w:ascii="Calibri" w:hAnsi="Calibri" w:cs="Calibri"/>
          <w:color w:val="000000"/>
        </w:rPr>
        <w:t>(SI aplica)</w:t>
      </w:r>
    </w:p>
    <w:p w:rsidR="00612683" w:rsidRDefault="00612683" w:rsidP="0061268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w:t>
      </w:r>
      <w:r w:rsidR="00B60EC1">
        <w:rPr>
          <w:rFonts w:ascii="Calibri" w:hAnsi="Calibri" w:cs="Calibri"/>
          <w:color w:val="000000"/>
        </w:rPr>
        <w:t>actualizado</w:t>
      </w:r>
      <w:r w:rsidRPr="00612683">
        <w:rPr>
          <w:rFonts w:ascii="Calibri" w:hAnsi="Calibri" w:cs="Calibri"/>
          <w:color w:val="000000"/>
        </w:rPr>
        <w:t xml:space="preserve"> </w:t>
      </w:r>
    </w:p>
    <w:p w:rsidR="00C10215" w:rsidRDefault="00304D8E" w:rsidP="0061268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Propuesta técnica de acuerdo a los</w:t>
      </w:r>
      <w:r w:rsidR="00E469BB">
        <w:rPr>
          <w:rFonts w:ascii="Calibri" w:hAnsi="Calibri" w:cs="Calibri"/>
          <w:color w:val="000000"/>
        </w:rPr>
        <w:t xml:space="preserve"> bienes solicitados</w:t>
      </w:r>
      <w:r>
        <w:rPr>
          <w:rFonts w:ascii="Calibri" w:hAnsi="Calibri" w:cs="Calibri"/>
          <w:color w:val="000000"/>
        </w:rPr>
        <w:t xml:space="preserve"> </w:t>
      </w:r>
      <w:r w:rsidR="00D52385">
        <w:rPr>
          <w:rFonts w:ascii="Calibri" w:hAnsi="Calibri" w:cs="Calibri"/>
          <w:color w:val="000000"/>
        </w:rPr>
        <w:t>(</w:t>
      </w:r>
      <w:r w:rsidR="00D52385" w:rsidRPr="00D52385">
        <w:rPr>
          <w:rFonts w:ascii="Calibri" w:hAnsi="Calibri" w:cs="Calibri"/>
          <w:b/>
          <w:color w:val="000000"/>
        </w:rPr>
        <w:t>IMÁGENES Y ESPECIFICACIONES</w:t>
      </w:r>
      <w:r w:rsidR="00D52385">
        <w:rPr>
          <w:rFonts w:ascii="Calibri" w:hAnsi="Calibri" w:cs="Calibri"/>
          <w:color w:val="000000"/>
        </w:rPr>
        <w:t>)</w:t>
      </w:r>
    </w:p>
    <w:p w:rsidR="003E6035" w:rsidRDefault="003E6035" w:rsidP="008B31E6">
      <w:pPr>
        <w:pStyle w:val="Default"/>
        <w:spacing w:after="132"/>
        <w:ind w:left="360"/>
        <w:jc w:val="both"/>
        <w:rPr>
          <w:rFonts w:asciiTheme="minorHAnsi" w:hAnsiTheme="minorHAnsi"/>
          <w:b/>
          <w:szCs w:val="22"/>
          <w:u w:val="single"/>
        </w:rPr>
      </w:pPr>
    </w:p>
    <w:p w:rsidR="008B31E6" w:rsidRPr="000E5623" w:rsidRDefault="000E5623" w:rsidP="008B31E6">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t xml:space="preserve">SOBRE </w:t>
      </w:r>
      <w:r w:rsidR="008B31E6" w:rsidRPr="000E5623">
        <w:rPr>
          <w:rFonts w:asciiTheme="minorHAnsi" w:hAnsiTheme="minorHAnsi"/>
          <w:b/>
          <w:szCs w:val="22"/>
          <w:u w:val="single"/>
        </w:rPr>
        <w:t xml:space="preserve">OFERTA </w:t>
      </w:r>
      <w:r w:rsidR="00EB39C4" w:rsidRPr="000E5623">
        <w:rPr>
          <w:rFonts w:asciiTheme="minorHAnsi" w:hAnsiTheme="minorHAnsi"/>
          <w:b/>
          <w:szCs w:val="22"/>
          <w:u w:val="single"/>
        </w:rPr>
        <w:t>ECONÓMICA</w:t>
      </w:r>
    </w:p>
    <w:p w:rsidR="009D6FF5" w:rsidRPr="009D6FF5" w:rsidRDefault="008B31E6" w:rsidP="009D6FF5">
      <w:pPr>
        <w:pStyle w:val="Default"/>
        <w:numPr>
          <w:ilvl w:val="0"/>
          <w:numId w:val="5"/>
        </w:numPr>
        <w:spacing w:after="132"/>
        <w:jc w:val="both"/>
        <w:rPr>
          <w:b/>
          <w:lang w:val="es-ES"/>
        </w:rPr>
      </w:pPr>
      <w:r w:rsidRPr="00E217B1">
        <w:rPr>
          <w:rFonts w:asciiTheme="minorHAnsi" w:hAnsiTheme="minorHAnsi"/>
          <w:sz w:val="22"/>
          <w:szCs w:val="22"/>
        </w:rPr>
        <w:t>Oferta económica</w:t>
      </w:r>
      <w:r w:rsidR="009D6FF5">
        <w:rPr>
          <w:rFonts w:asciiTheme="minorHAnsi" w:hAnsiTheme="minorHAnsi"/>
          <w:sz w:val="22"/>
          <w:szCs w:val="22"/>
        </w:rPr>
        <w:t xml:space="preserve"> debidamente llenada en formulario </w:t>
      </w:r>
      <w:r w:rsidR="009D6FF5" w:rsidRPr="009D6FF5">
        <w:rPr>
          <w:rFonts w:asciiTheme="minorHAnsi" w:hAnsiTheme="minorHAnsi"/>
          <w:b/>
          <w:color w:val="C00000"/>
          <w:sz w:val="20"/>
          <w:lang w:val="es-ES"/>
        </w:rPr>
        <w:t xml:space="preserve">SNCC.F.033 </w:t>
      </w:r>
      <w:r w:rsidR="009D6FF5" w:rsidRPr="009D6FF5">
        <w:rPr>
          <w:rFonts w:asciiTheme="minorHAnsi" w:hAnsiTheme="minorHAnsi"/>
          <w:color w:val="000000" w:themeColor="text1"/>
          <w:sz w:val="18"/>
          <w:lang w:val="es-ES"/>
        </w:rPr>
        <w:t>sellado y firmado</w:t>
      </w:r>
    </w:p>
    <w:p w:rsidR="009D6FF5" w:rsidRDefault="009D6FF5" w:rsidP="00DE0608">
      <w:pPr>
        <w:pStyle w:val="Default"/>
        <w:spacing w:after="132"/>
        <w:jc w:val="both"/>
        <w:rPr>
          <w:rFonts w:asciiTheme="minorHAnsi" w:hAnsiTheme="minorHAnsi"/>
          <w:sz w:val="22"/>
          <w:szCs w:val="22"/>
        </w:rPr>
      </w:pPr>
    </w:p>
    <w:p w:rsidR="00DE0608" w:rsidRPr="000A6CC8" w:rsidRDefault="00DE0608" w:rsidP="00DE0608">
      <w:pPr>
        <w:pStyle w:val="Default"/>
        <w:ind w:left="360"/>
        <w:jc w:val="both"/>
        <w:rPr>
          <w:rFonts w:asciiTheme="minorHAnsi" w:hAnsiTheme="minorHAnsi"/>
          <w:b/>
          <w:sz w:val="22"/>
          <w:szCs w:val="22"/>
          <w:u w:val="single"/>
        </w:rPr>
      </w:pPr>
      <w:r w:rsidRPr="000A6CC8">
        <w:rPr>
          <w:rFonts w:asciiTheme="minorHAnsi" w:hAnsiTheme="minorHAnsi"/>
          <w:b/>
          <w:sz w:val="22"/>
          <w:szCs w:val="22"/>
          <w:u w:val="single"/>
        </w:rPr>
        <w:t>CRONOGRAMA DE ACTIVIDADES</w:t>
      </w:r>
      <w:r w:rsidRPr="000A6CC8">
        <w:rPr>
          <w:rFonts w:asciiTheme="minorHAnsi" w:hAnsiTheme="minorHAnsi"/>
          <w:sz w:val="22"/>
          <w:szCs w:val="22"/>
        </w:rPr>
        <w:t>:</w:t>
      </w:r>
    </w:p>
    <w:p w:rsidR="00DE0608" w:rsidRDefault="00DE0608" w:rsidP="00DE0608">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DE0608" w:rsidTr="00D041BB">
        <w:tc>
          <w:tcPr>
            <w:tcW w:w="4750" w:type="dxa"/>
          </w:tcPr>
          <w:p w:rsidR="00DE0608" w:rsidRPr="004547DF" w:rsidRDefault="00DE0608" w:rsidP="00D041BB">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DE0608" w:rsidRPr="004547DF" w:rsidRDefault="00DE0608" w:rsidP="00D041BB">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DE0608" w:rsidTr="00D041BB">
        <w:tc>
          <w:tcPr>
            <w:tcW w:w="4750" w:type="dxa"/>
          </w:tcPr>
          <w:p w:rsidR="00DE0608" w:rsidRDefault="00DE0608" w:rsidP="00D041BB">
            <w:pPr>
              <w:pStyle w:val="Default"/>
              <w:rPr>
                <w:rFonts w:asciiTheme="minorHAnsi" w:hAnsiTheme="minorHAnsi"/>
                <w:sz w:val="22"/>
                <w:szCs w:val="22"/>
              </w:rPr>
            </w:pPr>
            <w:r>
              <w:rPr>
                <w:rFonts w:asciiTheme="minorHAnsi" w:hAnsiTheme="minorHAnsi"/>
                <w:sz w:val="22"/>
                <w:szCs w:val="22"/>
              </w:rPr>
              <w:t>1. Convocatoria a participar en compra Menor.</w:t>
            </w:r>
          </w:p>
        </w:tc>
        <w:tc>
          <w:tcPr>
            <w:tcW w:w="4750" w:type="dxa"/>
          </w:tcPr>
          <w:p w:rsidR="00DE0608" w:rsidRDefault="003E4EAF" w:rsidP="003E4EAF">
            <w:pPr>
              <w:pStyle w:val="Default"/>
              <w:jc w:val="both"/>
              <w:rPr>
                <w:rFonts w:asciiTheme="minorHAnsi" w:hAnsiTheme="minorHAnsi"/>
                <w:sz w:val="22"/>
                <w:szCs w:val="22"/>
              </w:rPr>
            </w:pPr>
            <w:r>
              <w:rPr>
                <w:rFonts w:asciiTheme="minorHAnsi" w:hAnsiTheme="minorHAnsi"/>
                <w:sz w:val="22"/>
                <w:szCs w:val="22"/>
              </w:rPr>
              <w:t xml:space="preserve">Jueves </w:t>
            </w:r>
            <w:r w:rsidR="00DE0608">
              <w:rPr>
                <w:rFonts w:asciiTheme="minorHAnsi" w:hAnsiTheme="minorHAnsi"/>
                <w:sz w:val="22"/>
                <w:szCs w:val="22"/>
              </w:rPr>
              <w:t xml:space="preserve"> </w:t>
            </w:r>
            <w:r>
              <w:rPr>
                <w:rFonts w:asciiTheme="minorHAnsi" w:hAnsiTheme="minorHAnsi"/>
                <w:sz w:val="22"/>
                <w:szCs w:val="22"/>
              </w:rPr>
              <w:t>17</w:t>
            </w:r>
            <w:r w:rsidR="00DE0608">
              <w:rPr>
                <w:rFonts w:asciiTheme="minorHAnsi" w:hAnsiTheme="minorHAnsi"/>
                <w:sz w:val="22"/>
                <w:szCs w:val="22"/>
              </w:rPr>
              <w:t xml:space="preserve"> de </w:t>
            </w:r>
            <w:r>
              <w:rPr>
                <w:rFonts w:asciiTheme="minorHAnsi" w:hAnsiTheme="minorHAnsi"/>
                <w:sz w:val="22"/>
                <w:szCs w:val="22"/>
              </w:rPr>
              <w:t xml:space="preserve">marzo </w:t>
            </w:r>
            <w:r w:rsidR="00DE0608">
              <w:rPr>
                <w:rFonts w:asciiTheme="minorHAnsi" w:hAnsiTheme="minorHAnsi"/>
                <w:sz w:val="22"/>
                <w:szCs w:val="22"/>
              </w:rPr>
              <w:t>de 202</w:t>
            </w:r>
            <w:r>
              <w:rPr>
                <w:rFonts w:asciiTheme="minorHAnsi" w:hAnsiTheme="minorHAnsi"/>
                <w:sz w:val="22"/>
                <w:szCs w:val="22"/>
              </w:rPr>
              <w:t>2</w:t>
            </w:r>
          </w:p>
        </w:tc>
      </w:tr>
      <w:tr w:rsidR="00DE0608" w:rsidTr="00D041BB">
        <w:tc>
          <w:tcPr>
            <w:tcW w:w="4750" w:type="dxa"/>
          </w:tcPr>
          <w:p w:rsidR="00DE0608" w:rsidRDefault="00DE0608" w:rsidP="00D041BB">
            <w:pPr>
              <w:pStyle w:val="Default"/>
              <w:jc w:val="both"/>
              <w:rPr>
                <w:rFonts w:asciiTheme="minorHAnsi" w:hAnsiTheme="minorHAnsi"/>
                <w:sz w:val="22"/>
                <w:szCs w:val="22"/>
              </w:rPr>
            </w:pPr>
            <w:r>
              <w:rPr>
                <w:rFonts w:asciiTheme="minorHAnsi" w:hAnsiTheme="minorHAnsi"/>
                <w:b/>
                <w:sz w:val="22"/>
                <w:szCs w:val="22"/>
              </w:rPr>
              <w:t xml:space="preserve">2. </w:t>
            </w:r>
            <w:r w:rsidRPr="00331884">
              <w:rPr>
                <w:rFonts w:asciiTheme="minorHAnsi" w:hAnsiTheme="minorHAnsi"/>
                <w:b/>
                <w:sz w:val="22"/>
                <w:szCs w:val="22"/>
              </w:rPr>
              <w:t>Recepción y Apertura de Propuestas Técnicas</w:t>
            </w:r>
            <w:r>
              <w:rPr>
                <w:rFonts w:asciiTheme="minorHAnsi" w:hAnsiTheme="minorHAnsi"/>
                <w:b/>
                <w:sz w:val="22"/>
                <w:szCs w:val="22"/>
              </w:rPr>
              <w:t xml:space="preserve"> y </w:t>
            </w:r>
            <w:r w:rsidRPr="00331884">
              <w:rPr>
                <w:rFonts w:asciiTheme="minorHAnsi" w:hAnsiTheme="minorHAnsi"/>
                <w:b/>
                <w:sz w:val="22"/>
                <w:szCs w:val="22"/>
              </w:rPr>
              <w:t>(Sobre 1 cerrado).</w:t>
            </w:r>
            <w:r>
              <w:rPr>
                <w:rFonts w:asciiTheme="minorHAnsi" w:hAnsiTheme="minorHAnsi"/>
                <w:sz w:val="22"/>
                <w:szCs w:val="22"/>
              </w:rPr>
              <w:t xml:space="preserve"> VER DOCUMENTOS A PRESENTAR (SOBRE OFERTA TÉCNICA).</w:t>
            </w:r>
          </w:p>
          <w:p w:rsidR="00DE0608" w:rsidRDefault="00DE0608" w:rsidP="00D041BB">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DE0608" w:rsidRPr="00324CDA" w:rsidRDefault="00DE0608" w:rsidP="003D60E8">
            <w:pPr>
              <w:pStyle w:val="Default"/>
              <w:jc w:val="both"/>
              <w:rPr>
                <w:rFonts w:asciiTheme="minorHAnsi" w:hAnsiTheme="minorHAnsi"/>
                <w:b/>
                <w:sz w:val="22"/>
                <w:szCs w:val="22"/>
              </w:rPr>
            </w:pPr>
            <w:r w:rsidRPr="00324CDA">
              <w:rPr>
                <w:rFonts w:asciiTheme="minorHAnsi" w:hAnsiTheme="minorHAnsi"/>
                <w:b/>
                <w:sz w:val="22"/>
                <w:szCs w:val="22"/>
              </w:rPr>
              <w:t>H</w:t>
            </w:r>
            <w:r>
              <w:rPr>
                <w:rFonts w:asciiTheme="minorHAnsi" w:hAnsiTheme="minorHAnsi"/>
                <w:b/>
                <w:sz w:val="22"/>
                <w:szCs w:val="22"/>
              </w:rPr>
              <w:t xml:space="preserve">asta el </w:t>
            </w:r>
            <w:r w:rsidR="00C411DC">
              <w:rPr>
                <w:rFonts w:asciiTheme="minorHAnsi" w:hAnsiTheme="minorHAnsi"/>
                <w:b/>
                <w:sz w:val="22"/>
                <w:szCs w:val="22"/>
              </w:rPr>
              <w:t>martes 22</w:t>
            </w:r>
            <w:r w:rsidR="00817E56">
              <w:rPr>
                <w:rFonts w:asciiTheme="minorHAnsi" w:hAnsiTheme="minorHAnsi"/>
                <w:b/>
                <w:sz w:val="22"/>
                <w:szCs w:val="22"/>
              </w:rPr>
              <w:t xml:space="preserve"> de </w:t>
            </w:r>
            <w:r w:rsidR="00C411DC">
              <w:rPr>
                <w:rFonts w:asciiTheme="minorHAnsi" w:hAnsiTheme="minorHAnsi"/>
                <w:b/>
                <w:sz w:val="22"/>
                <w:szCs w:val="22"/>
              </w:rPr>
              <w:t>marzo de 2022</w:t>
            </w:r>
            <w:r w:rsidRPr="00324CDA">
              <w:rPr>
                <w:rFonts w:asciiTheme="minorHAnsi" w:hAnsiTheme="minorHAnsi"/>
                <w:b/>
                <w:sz w:val="22"/>
                <w:szCs w:val="22"/>
              </w:rPr>
              <w:t xml:space="preserve"> más tardar las </w:t>
            </w:r>
            <w:r w:rsidR="00C411DC">
              <w:rPr>
                <w:rFonts w:asciiTheme="minorHAnsi" w:hAnsiTheme="minorHAnsi"/>
                <w:b/>
                <w:sz w:val="22"/>
                <w:szCs w:val="22"/>
              </w:rPr>
              <w:t>12</w:t>
            </w:r>
            <w:r w:rsidRPr="00324CDA">
              <w:rPr>
                <w:rFonts w:asciiTheme="minorHAnsi" w:hAnsiTheme="minorHAnsi"/>
                <w:b/>
                <w:sz w:val="22"/>
                <w:szCs w:val="22"/>
              </w:rPr>
              <w:t>:00 pm</w:t>
            </w:r>
            <w:r>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o cargadas en el Portal Transaccional.</w:t>
            </w:r>
          </w:p>
        </w:tc>
      </w:tr>
      <w:tr w:rsidR="00DE0608" w:rsidTr="00D041BB">
        <w:tc>
          <w:tcPr>
            <w:tcW w:w="4750" w:type="dxa"/>
          </w:tcPr>
          <w:p w:rsidR="00DE0608" w:rsidRDefault="00DE0608" w:rsidP="00D041BB">
            <w:pPr>
              <w:pStyle w:val="Default"/>
              <w:jc w:val="both"/>
              <w:rPr>
                <w:rFonts w:asciiTheme="minorHAnsi" w:hAnsiTheme="minorHAnsi"/>
                <w:sz w:val="22"/>
                <w:szCs w:val="22"/>
              </w:rPr>
            </w:pPr>
            <w:r>
              <w:rPr>
                <w:rFonts w:asciiTheme="minorHAnsi" w:hAnsiTheme="minorHAnsi"/>
                <w:sz w:val="22"/>
                <w:szCs w:val="22"/>
              </w:rPr>
              <w:t xml:space="preserve">3. </w:t>
            </w:r>
            <w:r w:rsidRPr="00331884">
              <w:rPr>
                <w:rFonts w:asciiTheme="minorHAnsi" w:hAnsiTheme="minorHAnsi"/>
                <w:sz w:val="22"/>
                <w:szCs w:val="22"/>
              </w:rPr>
              <w:t>Recepción de Propuestas Económicas (Sobre 2 cerrado).</w:t>
            </w:r>
            <w:r>
              <w:rPr>
                <w:rFonts w:asciiTheme="minorHAnsi" w:hAnsiTheme="minorHAnsi"/>
                <w:sz w:val="22"/>
                <w:szCs w:val="22"/>
              </w:rPr>
              <w:t xml:space="preserve"> Documento a Presentar (SOBRE 2 OFERTA ECONÓMICA). </w:t>
            </w:r>
            <w:r w:rsidRPr="00331884">
              <w:rPr>
                <w:rFonts w:asciiTheme="minorHAnsi" w:hAnsiTheme="minorHAnsi"/>
                <w:b/>
                <w:sz w:val="22"/>
                <w:szCs w:val="22"/>
                <w:u w:val="single"/>
              </w:rPr>
              <w:t>Formulario de Oferta Económica (SNCC.F.033)</w:t>
            </w:r>
            <w:r>
              <w:rPr>
                <w:rFonts w:asciiTheme="minorHAnsi" w:hAnsiTheme="minorHAnsi"/>
                <w:b/>
                <w:sz w:val="22"/>
                <w:szCs w:val="22"/>
                <w:u w:val="single"/>
              </w:rPr>
              <w:t>.</w:t>
            </w:r>
          </w:p>
        </w:tc>
        <w:tc>
          <w:tcPr>
            <w:tcW w:w="4750" w:type="dxa"/>
            <w:vMerge/>
          </w:tcPr>
          <w:p w:rsidR="00DE0608" w:rsidRDefault="00DE0608" w:rsidP="00D041BB">
            <w:pPr>
              <w:pStyle w:val="Default"/>
              <w:jc w:val="both"/>
              <w:rPr>
                <w:rFonts w:asciiTheme="minorHAnsi" w:hAnsiTheme="minorHAnsi"/>
                <w:sz w:val="22"/>
                <w:szCs w:val="22"/>
              </w:rPr>
            </w:pPr>
          </w:p>
        </w:tc>
      </w:tr>
      <w:tr w:rsidR="00C411DC" w:rsidTr="00D041BB">
        <w:tc>
          <w:tcPr>
            <w:tcW w:w="4750" w:type="dxa"/>
          </w:tcPr>
          <w:p w:rsidR="00C411DC" w:rsidRDefault="00C411DC" w:rsidP="00D041BB">
            <w:pPr>
              <w:pStyle w:val="Default"/>
              <w:jc w:val="both"/>
              <w:rPr>
                <w:rFonts w:asciiTheme="minorHAnsi" w:hAnsiTheme="minorHAnsi"/>
                <w:sz w:val="22"/>
                <w:szCs w:val="22"/>
              </w:rPr>
            </w:pPr>
            <w:r>
              <w:rPr>
                <w:rFonts w:asciiTheme="minorHAnsi" w:hAnsiTheme="minorHAnsi"/>
                <w:sz w:val="22"/>
                <w:szCs w:val="22"/>
              </w:rPr>
              <w:t>4. Evaluación de Propuestas Técnicas.</w:t>
            </w:r>
          </w:p>
        </w:tc>
        <w:tc>
          <w:tcPr>
            <w:tcW w:w="4750" w:type="dxa"/>
          </w:tcPr>
          <w:p w:rsidR="00C411DC" w:rsidRDefault="00C411DC" w:rsidP="008A3A75">
            <w:r>
              <w:rPr>
                <w:b/>
              </w:rPr>
              <w:t>2</w:t>
            </w:r>
            <w:r>
              <w:rPr>
                <w:b/>
              </w:rPr>
              <w:t>2</w:t>
            </w:r>
            <w:r w:rsidRPr="004B0371">
              <w:rPr>
                <w:b/>
              </w:rPr>
              <w:t xml:space="preserve"> de </w:t>
            </w:r>
            <w:r>
              <w:rPr>
                <w:b/>
              </w:rPr>
              <w:t>marzo de 2022</w:t>
            </w:r>
            <w:r w:rsidRPr="004B0371">
              <w:rPr>
                <w:b/>
              </w:rPr>
              <w:t xml:space="preserve"> </w:t>
            </w:r>
          </w:p>
        </w:tc>
      </w:tr>
      <w:tr w:rsidR="00C411DC" w:rsidTr="00D041BB">
        <w:tc>
          <w:tcPr>
            <w:tcW w:w="4750" w:type="dxa"/>
          </w:tcPr>
          <w:p w:rsidR="00C411DC" w:rsidRPr="00331884" w:rsidRDefault="00C411DC" w:rsidP="00D041BB">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C411DC" w:rsidRDefault="00C411DC" w:rsidP="008A3A75">
            <w:r>
              <w:rPr>
                <w:b/>
              </w:rPr>
              <w:t>2</w:t>
            </w:r>
            <w:r>
              <w:rPr>
                <w:b/>
              </w:rPr>
              <w:t>2</w:t>
            </w:r>
            <w:r w:rsidRPr="004B0371">
              <w:rPr>
                <w:b/>
              </w:rPr>
              <w:t xml:space="preserve"> de </w:t>
            </w:r>
            <w:r>
              <w:rPr>
                <w:b/>
              </w:rPr>
              <w:t>marzo de 2022</w:t>
            </w:r>
            <w:r w:rsidRPr="004B0371">
              <w:rPr>
                <w:b/>
              </w:rPr>
              <w:t xml:space="preserve"> </w:t>
            </w:r>
          </w:p>
        </w:tc>
      </w:tr>
      <w:tr w:rsidR="00C411DC" w:rsidTr="00D041BB">
        <w:tc>
          <w:tcPr>
            <w:tcW w:w="4750" w:type="dxa"/>
          </w:tcPr>
          <w:p w:rsidR="00C411DC" w:rsidRDefault="00C411DC" w:rsidP="00D041BB">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C411DC" w:rsidRDefault="00C411DC" w:rsidP="008A3A75">
            <w:r>
              <w:rPr>
                <w:b/>
              </w:rPr>
              <w:t>2</w:t>
            </w:r>
            <w:r>
              <w:rPr>
                <w:b/>
              </w:rPr>
              <w:t>2</w:t>
            </w:r>
            <w:r w:rsidRPr="004B0371">
              <w:rPr>
                <w:b/>
              </w:rPr>
              <w:t xml:space="preserve"> de </w:t>
            </w:r>
            <w:r>
              <w:rPr>
                <w:b/>
              </w:rPr>
              <w:t>marzo de 2022</w:t>
            </w:r>
            <w:r w:rsidRPr="004B0371">
              <w:rPr>
                <w:b/>
              </w:rPr>
              <w:t xml:space="preserve"> </w:t>
            </w:r>
          </w:p>
        </w:tc>
      </w:tr>
      <w:tr w:rsidR="00C411DC" w:rsidTr="00D041BB">
        <w:tc>
          <w:tcPr>
            <w:tcW w:w="4750" w:type="dxa"/>
          </w:tcPr>
          <w:p w:rsidR="00C411DC" w:rsidRPr="00331884" w:rsidRDefault="00C411DC" w:rsidP="00D041BB">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C411DC" w:rsidRDefault="00C411DC" w:rsidP="008A3A75">
            <w:r>
              <w:rPr>
                <w:b/>
              </w:rPr>
              <w:t>23</w:t>
            </w:r>
            <w:r w:rsidRPr="004B0371">
              <w:rPr>
                <w:b/>
              </w:rPr>
              <w:t xml:space="preserve"> de </w:t>
            </w:r>
            <w:r>
              <w:rPr>
                <w:b/>
              </w:rPr>
              <w:t>marzo de 2022</w:t>
            </w:r>
            <w:r w:rsidRPr="004B0371">
              <w:rPr>
                <w:b/>
              </w:rPr>
              <w:t xml:space="preserve"> </w:t>
            </w:r>
          </w:p>
        </w:tc>
      </w:tr>
      <w:tr w:rsidR="00C411DC" w:rsidTr="00D041BB">
        <w:tc>
          <w:tcPr>
            <w:tcW w:w="4750" w:type="dxa"/>
          </w:tcPr>
          <w:p w:rsidR="00C411DC" w:rsidRDefault="00C411DC" w:rsidP="00D041BB">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C411DC" w:rsidRDefault="00C411DC" w:rsidP="008A3A75">
            <w:r>
              <w:rPr>
                <w:b/>
              </w:rPr>
              <w:t>23</w:t>
            </w:r>
            <w:r w:rsidRPr="004B0371">
              <w:rPr>
                <w:b/>
              </w:rPr>
              <w:t xml:space="preserve"> de </w:t>
            </w:r>
            <w:r>
              <w:rPr>
                <w:b/>
              </w:rPr>
              <w:t>marzo de 2022</w:t>
            </w:r>
            <w:r w:rsidRPr="004B0371">
              <w:rPr>
                <w:b/>
              </w:rPr>
              <w:t xml:space="preserve"> </w:t>
            </w:r>
          </w:p>
        </w:tc>
      </w:tr>
    </w:tbl>
    <w:p w:rsidR="00DE0608" w:rsidRDefault="00DE0608" w:rsidP="00DE0608">
      <w:pPr>
        <w:pStyle w:val="Default"/>
        <w:spacing w:after="132"/>
        <w:jc w:val="both"/>
        <w:rPr>
          <w:rFonts w:asciiTheme="minorHAnsi" w:hAnsiTheme="minorHAnsi"/>
          <w:sz w:val="22"/>
          <w:szCs w:val="22"/>
        </w:rPr>
      </w:pPr>
    </w:p>
    <w:p w:rsidR="00D041BB" w:rsidRPr="00A133E2" w:rsidRDefault="00D041BB" w:rsidP="00D041BB">
      <w:pPr>
        <w:pStyle w:val="TableParagraph"/>
        <w:rPr>
          <w:b/>
          <w:sz w:val="20"/>
          <w:szCs w:val="20"/>
          <w:u w:val="single"/>
        </w:rPr>
      </w:pPr>
      <w:r w:rsidRPr="00A133E2">
        <w:rPr>
          <w:b/>
          <w:sz w:val="20"/>
          <w:szCs w:val="20"/>
          <w:u w:val="single"/>
        </w:rPr>
        <w:t>CONDICIONES DE</w:t>
      </w:r>
      <w:r w:rsidRPr="00A133E2">
        <w:rPr>
          <w:b/>
          <w:spacing w:val="-1"/>
          <w:sz w:val="20"/>
          <w:szCs w:val="20"/>
          <w:u w:val="single"/>
        </w:rPr>
        <w:t xml:space="preserve"> </w:t>
      </w:r>
      <w:r w:rsidRPr="00A133E2">
        <w:rPr>
          <w:b/>
          <w:sz w:val="20"/>
          <w:szCs w:val="20"/>
          <w:u w:val="single"/>
        </w:rPr>
        <w:t>PAGO</w:t>
      </w:r>
    </w:p>
    <w:p w:rsidR="00D041BB" w:rsidRPr="00A133E2" w:rsidRDefault="00D041BB" w:rsidP="00D041BB">
      <w:pPr>
        <w:pStyle w:val="TableParagraph"/>
        <w:rPr>
          <w:b/>
          <w:sz w:val="20"/>
          <w:szCs w:val="20"/>
        </w:rPr>
      </w:pPr>
    </w:p>
    <w:p w:rsidR="00D041BB" w:rsidRPr="00A133E2" w:rsidRDefault="00D041BB" w:rsidP="00D041BB">
      <w:pPr>
        <w:pStyle w:val="TableParagraph"/>
        <w:rPr>
          <w:sz w:val="20"/>
          <w:szCs w:val="20"/>
        </w:rPr>
      </w:pPr>
      <w:r w:rsidRPr="00A133E2">
        <w:rPr>
          <w:sz w:val="20"/>
          <w:szCs w:val="20"/>
        </w:rPr>
        <w:t xml:space="preserve">La entidad contratante realizara un único pago correspondiente al monto total de la adjudicación, a los </w:t>
      </w:r>
      <w:r>
        <w:rPr>
          <w:sz w:val="20"/>
          <w:szCs w:val="20"/>
        </w:rPr>
        <w:t>cuarenta y cinco</w:t>
      </w:r>
      <w:r w:rsidRPr="00A133E2">
        <w:rPr>
          <w:sz w:val="20"/>
          <w:szCs w:val="20"/>
        </w:rPr>
        <w:t xml:space="preserve"> (</w:t>
      </w:r>
      <w:r>
        <w:rPr>
          <w:sz w:val="20"/>
          <w:szCs w:val="20"/>
        </w:rPr>
        <w:t>45</w:t>
      </w:r>
      <w:r w:rsidRPr="00A133E2">
        <w:rPr>
          <w:sz w:val="20"/>
          <w:szCs w:val="20"/>
        </w:rPr>
        <w:t>) días contados a partir de la entrega total de los bienes y servicios adquiridos.</w:t>
      </w:r>
    </w:p>
    <w:p w:rsidR="00D041BB" w:rsidRDefault="00D041BB" w:rsidP="00D041BB">
      <w:pPr>
        <w:pStyle w:val="TableParagraph"/>
        <w:rPr>
          <w:b/>
          <w:sz w:val="20"/>
          <w:szCs w:val="20"/>
          <w:u w:val="single"/>
        </w:rPr>
      </w:pPr>
    </w:p>
    <w:p w:rsidR="00D041BB" w:rsidRPr="00A133E2" w:rsidRDefault="00D041BB" w:rsidP="00D041BB">
      <w:pPr>
        <w:pStyle w:val="TableParagraph"/>
        <w:rPr>
          <w:b/>
          <w:sz w:val="20"/>
          <w:szCs w:val="20"/>
          <w:u w:val="single"/>
        </w:rPr>
      </w:pPr>
      <w:r w:rsidRPr="00A133E2">
        <w:rPr>
          <w:b/>
          <w:sz w:val="20"/>
          <w:szCs w:val="20"/>
          <w:u w:val="single"/>
        </w:rPr>
        <w:t xml:space="preserve">CRITERIOS DE EVALUACIÓN </w:t>
      </w:r>
    </w:p>
    <w:p w:rsidR="00D041BB" w:rsidRPr="00A133E2" w:rsidRDefault="00D041BB" w:rsidP="00D041BB">
      <w:pPr>
        <w:pStyle w:val="TableParagraph"/>
        <w:rPr>
          <w:sz w:val="20"/>
          <w:szCs w:val="20"/>
        </w:rPr>
      </w:pPr>
    </w:p>
    <w:p w:rsidR="00D041BB" w:rsidRPr="00A133E2" w:rsidRDefault="00D041BB" w:rsidP="00D041BB">
      <w:pPr>
        <w:pStyle w:val="TableParagraph"/>
        <w:rPr>
          <w:sz w:val="20"/>
          <w:szCs w:val="20"/>
        </w:rPr>
      </w:pPr>
      <w:r w:rsidRPr="00A133E2">
        <w:rPr>
          <w:sz w:val="20"/>
          <w:szCs w:val="20"/>
        </w:rPr>
        <w:t>Evaluación de Credenciales y Oferta</w:t>
      </w:r>
      <w:r w:rsidRPr="00A133E2">
        <w:rPr>
          <w:spacing w:val="-14"/>
          <w:sz w:val="20"/>
          <w:szCs w:val="20"/>
        </w:rPr>
        <w:t xml:space="preserve"> </w:t>
      </w:r>
      <w:r w:rsidRPr="00A133E2">
        <w:rPr>
          <w:sz w:val="20"/>
          <w:szCs w:val="20"/>
        </w:rPr>
        <w:t>Técnica.</w:t>
      </w:r>
    </w:p>
    <w:p w:rsidR="00D041BB" w:rsidRDefault="00D041BB" w:rsidP="00D041BB">
      <w:pPr>
        <w:pStyle w:val="Textoindependiente"/>
        <w:spacing w:before="6"/>
        <w:rPr>
          <w:b/>
          <w:sz w:val="18"/>
        </w:rPr>
      </w:pPr>
    </w:p>
    <w:p w:rsidR="00D041BB" w:rsidRPr="00477AD8" w:rsidRDefault="00D041BB" w:rsidP="00D041BB">
      <w:pPr>
        <w:pStyle w:val="Textoindependiente"/>
        <w:spacing w:line="216" w:lineRule="auto"/>
        <w:ind w:left="760" w:right="1056"/>
        <w:rPr>
          <w:rFonts w:ascii="Georgia" w:hAnsi="Georgia"/>
          <w:b/>
        </w:rPr>
      </w:pPr>
      <w:r w:rsidRPr="00477AD8">
        <w:rPr>
          <w:b/>
        </w:rPr>
        <w:t xml:space="preserve">Las propuestas deberán contener la documentación necesaria, suficiente para demostrar los siguientes aspectos que serán verificados bajo la modalidad </w:t>
      </w:r>
      <w:r w:rsidRPr="00477AD8">
        <w:rPr>
          <w:rFonts w:ascii="Georgia" w:hAnsi="Georgia"/>
          <w:b/>
        </w:rPr>
        <w:t>“CUMPLE/ NO CUMPLE”:</w:t>
      </w:r>
    </w:p>
    <w:p w:rsidR="00D041BB" w:rsidRDefault="00D041BB" w:rsidP="00D041BB">
      <w:pPr>
        <w:pStyle w:val="Textoindependiente"/>
        <w:spacing w:before="4" w:after="1"/>
        <w:rPr>
          <w:rFonts w:ascii="Georgia"/>
          <w:b/>
          <w:sz w:val="22"/>
        </w:rPr>
      </w:pPr>
    </w:p>
    <w:p w:rsidR="00D041BB" w:rsidRDefault="00D041BB" w:rsidP="00D041BB">
      <w:pPr>
        <w:pStyle w:val="Textoindependiente"/>
        <w:spacing w:before="4" w:after="1"/>
        <w:rPr>
          <w:rFonts w:ascii="Georgia"/>
          <w:b/>
          <w:sz w:val="22"/>
        </w:rPr>
      </w:pPr>
    </w:p>
    <w:tbl>
      <w:tblPr>
        <w:tblStyle w:val="TableNormal"/>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5672"/>
        <w:gridCol w:w="1277"/>
        <w:gridCol w:w="1530"/>
      </w:tblGrid>
      <w:tr w:rsidR="00D041BB" w:rsidTr="00D041BB">
        <w:trPr>
          <w:trHeight w:val="331"/>
        </w:trPr>
        <w:tc>
          <w:tcPr>
            <w:tcW w:w="703" w:type="dxa"/>
            <w:shd w:val="clear" w:color="auto" w:fill="22405F"/>
          </w:tcPr>
          <w:p w:rsidR="00D041BB" w:rsidRDefault="00D041BB" w:rsidP="00D041BB">
            <w:pPr>
              <w:pStyle w:val="TableParagraph"/>
              <w:jc w:val="center"/>
              <w:rPr>
                <w:rFonts w:ascii="Times New Roman"/>
                <w:sz w:val="18"/>
              </w:rPr>
            </w:pPr>
          </w:p>
        </w:tc>
        <w:tc>
          <w:tcPr>
            <w:tcW w:w="5672" w:type="dxa"/>
            <w:shd w:val="clear" w:color="auto" w:fill="22405F"/>
          </w:tcPr>
          <w:p w:rsidR="00D041BB" w:rsidRDefault="00D041BB" w:rsidP="00D041BB">
            <w:pPr>
              <w:pStyle w:val="TableParagraph"/>
              <w:spacing w:line="246" w:lineRule="exact"/>
              <w:ind w:left="7"/>
              <w:rPr>
                <w:rFonts w:ascii="TeXGyrePagella" w:hAnsi="TeXGyrePagella"/>
                <w:b/>
                <w:sz w:val="20"/>
              </w:rPr>
            </w:pPr>
            <w:r>
              <w:rPr>
                <w:rFonts w:ascii="TeXGyrePagella" w:hAnsi="TeXGyrePagella"/>
                <w:b/>
                <w:color w:val="FFFFFF"/>
                <w:sz w:val="20"/>
              </w:rPr>
              <w:t>Criterio de Evaluación Credenciales</w:t>
            </w:r>
          </w:p>
        </w:tc>
        <w:tc>
          <w:tcPr>
            <w:tcW w:w="1277" w:type="dxa"/>
            <w:shd w:val="clear" w:color="auto" w:fill="22405F"/>
          </w:tcPr>
          <w:p w:rsidR="00D041BB" w:rsidRDefault="00D041BB" w:rsidP="00D041BB">
            <w:pPr>
              <w:pStyle w:val="TableParagraph"/>
              <w:spacing w:before="4"/>
              <w:ind w:left="4"/>
              <w:rPr>
                <w:rFonts w:ascii="TeXGyrePagella"/>
                <w:b/>
                <w:sz w:val="20"/>
              </w:rPr>
            </w:pPr>
            <w:r>
              <w:rPr>
                <w:rFonts w:ascii="TeXGyrePagella"/>
                <w:b/>
                <w:color w:val="FFFFFF"/>
                <w:sz w:val="20"/>
              </w:rPr>
              <w:t>CUMPLE</w:t>
            </w:r>
          </w:p>
        </w:tc>
        <w:tc>
          <w:tcPr>
            <w:tcW w:w="1530" w:type="dxa"/>
            <w:shd w:val="clear" w:color="auto" w:fill="22405F"/>
          </w:tcPr>
          <w:p w:rsidR="00D041BB" w:rsidRDefault="00D041BB" w:rsidP="00D041BB">
            <w:pPr>
              <w:pStyle w:val="TableParagraph"/>
              <w:spacing w:before="4"/>
              <w:ind w:left="139"/>
              <w:rPr>
                <w:rFonts w:ascii="TeXGyrePagella"/>
                <w:b/>
                <w:sz w:val="20"/>
              </w:rPr>
            </w:pPr>
            <w:r>
              <w:rPr>
                <w:rFonts w:ascii="TeXGyrePagella"/>
                <w:b/>
                <w:color w:val="FFFFFF"/>
                <w:sz w:val="20"/>
              </w:rPr>
              <w:t>NO CUMPLE</w:t>
            </w:r>
          </w:p>
        </w:tc>
      </w:tr>
      <w:tr w:rsidR="00D041BB" w:rsidTr="00D041BB">
        <w:trPr>
          <w:trHeight w:val="831"/>
        </w:trPr>
        <w:tc>
          <w:tcPr>
            <w:tcW w:w="703" w:type="dxa"/>
          </w:tcPr>
          <w:p w:rsidR="00D041BB" w:rsidRDefault="00D041BB" w:rsidP="00D041BB">
            <w:pPr>
              <w:pStyle w:val="TableParagraph"/>
              <w:spacing w:before="15"/>
              <w:ind w:right="158"/>
              <w:jc w:val="right"/>
              <w:rPr>
                <w:rFonts w:ascii="TeXGyrePagella"/>
                <w:b/>
                <w:sz w:val="20"/>
              </w:rPr>
            </w:pPr>
            <w:r>
              <w:rPr>
                <w:rFonts w:ascii="TeXGyrePagella"/>
                <w:b/>
                <w:w w:val="83"/>
                <w:sz w:val="20"/>
              </w:rPr>
              <w:t>1</w:t>
            </w:r>
          </w:p>
        </w:tc>
        <w:tc>
          <w:tcPr>
            <w:tcW w:w="5672" w:type="dxa"/>
          </w:tcPr>
          <w:p w:rsidR="00D041BB" w:rsidRDefault="00D041BB" w:rsidP="00D041BB">
            <w:pPr>
              <w:pStyle w:val="TableParagraph"/>
              <w:spacing w:line="216" w:lineRule="auto"/>
              <w:ind w:left="215" w:right="231"/>
              <w:jc w:val="both"/>
              <w:rPr>
                <w:rFonts w:ascii="TeXGyrePagella" w:hAnsi="TeXGyrePagella"/>
                <w:b/>
                <w:sz w:val="20"/>
              </w:rPr>
            </w:pPr>
            <w:r>
              <w:rPr>
                <w:rFonts w:ascii="TeXGyrePagella" w:hAnsi="TeXGyrePagella"/>
                <w:sz w:val="20"/>
              </w:rPr>
              <w:t xml:space="preserve">Registro de Proveedores del Estado (RPE) con documentos legales-administrativos actualizados, emitido por la Dirección General de Contrataciones Públicas. </w:t>
            </w:r>
          </w:p>
          <w:p w:rsidR="00D041BB" w:rsidRDefault="00D041BB" w:rsidP="00D041BB">
            <w:pPr>
              <w:pStyle w:val="TableParagraph"/>
              <w:spacing w:line="223" w:lineRule="exact"/>
              <w:ind w:left="215"/>
              <w:jc w:val="both"/>
              <w:rPr>
                <w:rFonts w:ascii="TeXGyrePagella" w:hAnsi="TeXGyrePagella"/>
                <w:b/>
                <w:sz w:val="20"/>
              </w:rPr>
            </w:pP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688"/>
        </w:trPr>
        <w:tc>
          <w:tcPr>
            <w:tcW w:w="703" w:type="dxa"/>
          </w:tcPr>
          <w:p w:rsidR="00D041BB" w:rsidRDefault="00D041BB" w:rsidP="00D041BB">
            <w:pPr>
              <w:pStyle w:val="TableParagraph"/>
              <w:spacing w:before="15"/>
              <w:ind w:right="158"/>
              <w:jc w:val="right"/>
              <w:rPr>
                <w:rFonts w:ascii="TeXGyrePagella"/>
                <w:b/>
                <w:sz w:val="20"/>
              </w:rPr>
            </w:pPr>
            <w:r>
              <w:rPr>
                <w:rFonts w:ascii="TeXGyrePagella"/>
                <w:b/>
                <w:w w:val="83"/>
                <w:sz w:val="20"/>
              </w:rPr>
              <w:lastRenderedPageBreak/>
              <w:t>2</w:t>
            </w:r>
          </w:p>
        </w:tc>
        <w:tc>
          <w:tcPr>
            <w:tcW w:w="5672" w:type="dxa"/>
          </w:tcPr>
          <w:p w:rsidR="00D041BB" w:rsidRDefault="00D041BB" w:rsidP="00D041BB">
            <w:pPr>
              <w:pStyle w:val="TableParagraph"/>
              <w:spacing w:line="216" w:lineRule="auto"/>
              <w:ind w:left="215"/>
              <w:rPr>
                <w:rFonts w:ascii="TeXGyrePagella" w:hAnsi="TeXGyrePagella"/>
                <w:b/>
                <w:sz w:val="20"/>
              </w:rPr>
            </w:pPr>
            <w:r>
              <w:rPr>
                <w:rFonts w:ascii="TeXGyrePagella" w:hAnsi="TeXGyrePagella"/>
                <w:sz w:val="20"/>
              </w:rPr>
              <w:t xml:space="preserve">Estar al día con el pago de sus obligaciones fiscales en la Dirección General de Impuestos Internos (DGII). </w:t>
            </w:r>
          </w:p>
          <w:p w:rsidR="00D041BB" w:rsidRDefault="00D041BB" w:rsidP="00D041BB">
            <w:pPr>
              <w:pStyle w:val="TableParagraph"/>
              <w:spacing w:line="240" w:lineRule="exact"/>
              <w:ind w:left="215" w:right="196"/>
              <w:rPr>
                <w:rFonts w:ascii="TeXGyrePagella" w:hAnsi="TeXGyrePagella"/>
                <w:b/>
                <w:sz w:val="20"/>
              </w:rPr>
            </w:pP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1121"/>
        </w:trPr>
        <w:tc>
          <w:tcPr>
            <w:tcW w:w="703" w:type="dxa"/>
          </w:tcPr>
          <w:p w:rsidR="00D041BB" w:rsidRDefault="00D041BB" w:rsidP="00D041BB">
            <w:pPr>
              <w:pStyle w:val="TableParagraph"/>
              <w:spacing w:before="16"/>
              <w:ind w:right="158"/>
              <w:jc w:val="right"/>
              <w:rPr>
                <w:rFonts w:ascii="TeXGyrePagella"/>
                <w:b/>
                <w:sz w:val="20"/>
              </w:rPr>
            </w:pPr>
            <w:r>
              <w:rPr>
                <w:rFonts w:ascii="TeXGyrePagella"/>
                <w:b/>
                <w:w w:val="83"/>
                <w:sz w:val="20"/>
              </w:rPr>
              <w:t>3</w:t>
            </w:r>
          </w:p>
        </w:tc>
        <w:tc>
          <w:tcPr>
            <w:tcW w:w="5672" w:type="dxa"/>
          </w:tcPr>
          <w:p w:rsidR="00D041BB" w:rsidRDefault="00D041BB" w:rsidP="00D041BB">
            <w:pPr>
              <w:pStyle w:val="TableParagraph"/>
              <w:spacing w:line="216" w:lineRule="auto"/>
              <w:ind w:left="215" w:right="231"/>
              <w:jc w:val="both"/>
              <w:rPr>
                <w:rFonts w:ascii="TeXGyrePagella" w:hAnsi="TeXGyrePagella"/>
                <w:sz w:val="20"/>
              </w:rPr>
            </w:pPr>
            <w:r>
              <w:rPr>
                <w:rFonts w:ascii="TeXGyrePagella" w:hAnsi="TeXGyrePagella"/>
                <w:sz w:val="20"/>
              </w:rPr>
              <w:t>Estar al día con el pago de sus obligaciones en la Tesorería de la Seguridad Social (TSS), donde se manifieste que el oferente se encuentra al día en el pago de sus obligaciones</w:t>
            </w:r>
          </w:p>
          <w:p w:rsidR="00D041BB" w:rsidRDefault="00D041BB" w:rsidP="00D041BB">
            <w:pPr>
              <w:pStyle w:val="TableParagraph"/>
              <w:spacing w:line="242" w:lineRule="exact"/>
              <w:ind w:left="215" w:right="231"/>
              <w:jc w:val="both"/>
              <w:rPr>
                <w:rFonts w:ascii="TeXGyrePagella" w:hAnsi="TeXGyrePagella"/>
                <w:b/>
                <w:sz w:val="20"/>
              </w:rPr>
            </w:pPr>
            <w:proofErr w:type="gramStart"/>
            <w:r>
              <w:rPr>
                <w:rFonts w:ascii="TeXGyrePagella" w:hAnsi="TeXGyrePagella"/>
                <w:sz w:val="20"/>
              </w:rPr>
              <w:t>de</w:t>
            </w:r>
            <w:proofErr w:type="gramEnd"/>
            <w:r>
              <w:rPr>
                <w:rFonts w:ascii="TeXGyrePagella" w:hAnsi="TeXGyrePagella"/>
                <w:sz w:val="20"/>
              </w:rPr>
              <w:t xml:space="preserve"> la Seguridad Social. </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527"/>
        </w:trPr>
        <w:tc>
          <w:tcPr>
            <w:tcW w:w="703" w:type="dxa"/>
          </w:tcPr>
          <w:p w:rsidR="00D041BB" w:rsidRDefault="00D041BB" w:rsidP="00D041BB">
            <w:pPr>
              <w:pStyle w:val="TableParagraph"/>
              <w:spacing w:before="16"/>
              <w:ind w:right="158"/>
              <w:jc w:val="right"/>
              <w:rPr>
                <w:rFonts w:ascii="TeXGyrePagella"/>
                <w:b/>
                <w:w w:val="83"/>
                <w:sz w:val="20"/>
              </w:rPr>
            </w:pPr>
            <w:r>
              <w:rPr>
                <w:rFonts w:ascii="TeXGyrePagella"/>
                <w:b/>
                <w:w w:val="83"/>
                <w:sz w:val="20"/>
              </w:rPr>
              <w:t>4</w:t>
            </w:r>
          </w:p>
        </w:tc>
        <w:tc>
          <w:tcPr>
            <w:tcW w:w="5672" w:type="dxa"/>
          </w:tcPr>
          <w:p w:rsidR="00D041BB" w:rsidRDefault="00D041BB" w:rsidP="00D041BB">
            <w:pPr>
              <w:pStyle w:val="TableParagraph"/>
              <w:spacing w:line="216" w:lineRule="auto"/>
              <w:ind w:left="215" w:right="231"/>
              <w:jc w:val="both"/>
              <w:rPr>
                <w:rFonts w:ascii="TeXGyrePagella" w:hAnsi="TeXGyrePagella"/>
                <w:sz w:val="20"/>
              </w:rPr>
            </w:pPr>
            <w:r>
              <w:rPr>
                <w:rFonts w:ascii="TeXGyrePagella" w:hAnsi="TeXGyrePagella"/>
                <w:sz w:val="20"/>
              </w:rPr>
              <w:t xml:space="preserve">Copia del Registro Mercantil </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669"/>
        </w:trPr>
        <w:tc>
          <w:tcPr>
            <w:tcW w:w="703" w:type="dxa"/>
          </w:tcPr>
          <w:p w:rsidR="00D041BB" w:rsidRDefault="00D041BB" w:rsidP="00D041BB">
            <w:pPr>
              <w:pStyle w:val="TableParagraph"/>
              <w:spacing w:before="15"/>
              <w:ind w:right="158"/>
              <w:jc w:val="right"/>
              <w:rPr>
                <w:rFonts w:ascii="TeXGyrePagella"/>
                <w:b/>
                <w:sz w:val="20"/>
              </w:rPr>
            </w:pPr>
            <w:r>
              <w:rPr>
                <w:rFonts w:ascii="TeXGyrePagella"/>
                <w:b/>
                <w:w w:val="83"/>
                <w:sz w:val="20"/>
              </w:rPr>
              <w:t>5</w:t>
            </w:r>
          </w:p>
        </w:tc>
        <w:tc>
          <w:tcPr>
            <w:tcW w:w="5672" w:type="dxa"/>
          </w:tcPr>
          <w:p w:rsidR="00D041BB" w:rsidRPr="00477AD8" w:rsidRDefault="00D041BB" w:rsidP="00D041BB">
            <w:pPr>
              <w:pStyle w:val="TableParagraph"/>
              <w:spacing w:line="216" w:lineRule="auto"/>
              <w:ind w:left="7" w:right="137"/>
              <w:jc w:val="both"/>
              <w:rPr>
                <w:rFonts w:ascii="TeXGyrePagella"/>
                <w:b/>
                <w:sz w:val="20"/>
              </w:rPr>
            </w:pPr>
            <w:r w:rsidRPr="00477AD8">
              <w:rPr>
                <w:rFonts w:ascii="TeXGyrePagella" w:hAnsi="TeXGyrePagella"/>
                <w:b/>
                <w:sz w:val="20"/>
              </w:rPr>
              <w:t>El Oferente deberá suministrar Certificación del Ministerio de Industria y Comercio que le acredita como MIPYMES</w:t>
            </w:r>
            <w:r w:rsidRPr="00477AD8">
              <w:rPr>
                <w:rFonts w:ascii="TeXGyrePagella"/>
                <w:b/>
                <w:sz w:val="20"/>
              </w:rPr>
              <w:t>.</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330"/>
        </w:trPr>
        <w:tc>
          <w:tcPr>
            <w:tcW w:w="703" w:type="dxa"/>
            <w:shd w:val="clear" w:color="auto" w:fill="22405F"/>
          </w:tcPr>
          <w:p w:rsidR="00D041BB" w:rsidRDefault="00D041BB" w:rsidP="00D041BB">
            <w:pPr>
              <w:pStyle w:val="TableParagraph"/>
              <w:rPr>
                <w:rFonts w:ascii="Times New Roman"/>
                <w:sz w:val="18"/>
              </w:rPr>
            </w:pPr>
          </w:p>
        </w:tc>
        <w:tc>
          <w:tcPr>
            <w:tcW w:w="5672" w:type="dxa"/>
            <w:shd w:val="clear" w:color="auto" w:fill="22405F"/>
          </w:tcPr>
          <w:p w:rsidR="00D041BB" w:rsidRDefault="00D041BB" w:rsidP="00D041BB">
            <w:pPr>
              <w:pStyle w:val="TableParagraph"/>
              <w:spacing w:line="240" w:lineRule="exact"/>
              <w:rPr>
                <w:rFonts w:ascii="TeXGyrePagella" w:hAnsi="TeXGyrePagella"/>
                <w:b/>
                <w:sz w:val="20"/>
              </w:rPr>
            </w:pPr>
            <w:r>
              <w:rPr>
                <w:rFonts w:ascii="TeXGyrePagella" w:hAnsi="TeXGyrePagella"/>
                <w:b/>
                <w:color w:val="FFFFFF"/>
                <w:sz w:val="20"/>
              </w:rPr>
              <w:t>Documentación Técnica</w:t>
            </w:r>
          </w:p>
        </w:tc>
        <w:tc>
          <w:tcPr>
            <w:tcW w:w="1277" w:type="dxa"/>
            <w:shd w:val="clear" w:color="auto" w:fill="22405F"/>
          </w:tcPr>
          <w:p w:rsidR="00D041BB" w:rsidRDefault="00D041BB" w:rsidP="00D041BB">
            <w:pPr>
              <w:pStyle w:val="TableParagraph"/>
              <w:spacing w:line="264" w:lineRule="exact"/>
              <w:ind w:left="55"/>
              <w:rPr>
                <w:rFonts w:ascii="TeXGyrePagella"/>
                <w:b/>
                <w:sz w:val="20"/>
              </w:rPr>
            </w:pPr>
            <w:r>
              <w:rPr>
                <w:rFonts w:ascii="TeXGyrePagella"/>
                <w:b/>
                <w:color w:val="FFFFFF"/>
                <w:sz w:val="20"/>
              </w:rPr>
              <w:t>CUMPLE</w:t>
            </w:r>
          </w:p>
        </w:tc>
        <w:tc>
          <w:tcPr>
            <w:tcW w:w="1530" w:type="dxa"/>
            <w:shd w:val="clear" w:color="auto" w:fill="22405F"/>
          </w:tcPr>
          <w:p w:rsidR="00D041BB" w:rsidRDefault="00D041BB" w:rsidP="00D041BB">
            <w:pPr>
              <w:pStyle w:val="TableParagraph"/>
              <w:spacing w:line="264" w:lineRule="exact"/>
              <w:ind w:left="55"/>
              <w:rPr>
                <w:rFonts w:ascii="TeXGyrePagella"/>
                <w:b/>
                <w:sz w:val="20"/>
              </w:rPr>
            </w:pPr>
            <w:r>
              <w:rPr>
                <w:rFonts w:ascii="TeXGyrePagella"/>
                <w:b/>
                <w:color w:val="FFFFFF"/>
                <w:sz w:val="20"/>
              </w:rPr>
              <w:t>NO CUMPLE</w:t>
            </w:r>
          </w:p>
        </w:tc>
      </w:tr>
      <w:tr w:rsidR="00D041BB" w:rsidTr="00D041BB">
        <w:trPr>
          <w:trHeight w:val="818"/>
        </w:trPr>
        <w:tc>
          <w:tcPr>
            <w:tcW w:w="703" w:type="dxa"/>
          </w:tcPr>
          <w:p w:rsidR="00D041BB" w:rsidRDefault="00D041BB" w:rsidP="00D041BB">
            <w:pPr>
              <w:pStyle w:val="TableParagraph"/>
              <w:rPr>
                <w:rFonts w:ascii="Georgia"/>
                <w:b/>
                <w:sz w:val="24"/>
              </w:rPr>
            </w:pPr>
          </w:p>
          <w:p w:rsidR="00D041BB" w:rsidRDefault="00D041BB" w:rsidP="00D041BB">
            <w:pPr>
              <w:pStyle w:val="TableParagraph"/>
              <w:spacing w:before="177"/>
              <w:ind w:right="158"/>
              <w:jc w:val="right"/>
              <w:rPr>
                <w:rFonts w:ascii="TeXGyrePagella"/>
                <w:b/>
                <w:sz w:val="20"/>
              </w:rPr>
            </w:pPr>
            <w:r>
              <w:rPr>
                <w:rFonts w:ascii="TeXGyrePagella"/>
                <w:b/>
                <w:w w:val="83"/>
                <w:sz w:val="20"/>
              </w:rPr>
              <w:t>1</w:t>
            </w:r>
          </w:p>
        </w:tc>
        <w:tc>
          <w:tcPr>
            <w:tcW w:w="5672" w:type="dxa"/>
          </w:tcPr>
          <w:p w:rsidR="00D041BB" w:rsidRDefault="00D041BB" w:rsidP="00D041BB">
            <w:pPr>
              <w:pStyle w:val="TableParagraph"/>
              <w:spacing w:line="216" w:lineRule="auto"/>
              <w:ind w:left="215" w:right="235"/>
              <w:jc w:val="both"/>
              <w:rPr>
                <w:rFonts w:ascii="TeXGyrePagella" w:hAnsi="TeXGyrePagella"/>
                <w:b/>
                <w:i/>
                <w:sz w:val="20"/>
              </w:rPr>
            </w:pPr>
            <w:r>
              <w:rPr>
                <w:rFonts w:ascii="TeXGyrePagella" w:hAnsi="TeXGyrePagella"/>
                <w:sz w:val="20"/>
              </w:rPr>
              <w:t>Oferta Técnica (conforme a las especificaciones técnicas suministradas</w:t>
            </w:r>
            <w:r>
              <w:rPr>
                <w:rFonts w:ascii="TeXGyrePagella" w:hAnsi="TeXGyrePagella"/>
                <w:spacing w:val="-7"/>
                <w:sz w:val="20"/>
              </w:rPr>
              <w:t xml:space="preserve"> </w:t>
            </w:r>
            <w:r>
              <w:rPr>
                <w:rFonts w:ascii="TeXGyrePagella" w:hAnsi="TeXGyrePagella"/>
                <w:sz w:val="20"/>
              </w:rPr>
              <w:t>de</w:t>
            </w:r>
            <w:r>
              <w:rPr>
                <w:rFonts w:ascii="TeXGyrePagella" w:hAnsi="TeXGyrePagella"/>
                <w:spacing w:val="-6"/>
                <w:sz w:val="20"/>
              </w:rPr>
              <w:t xml:space="preserve"> </w:t>
            </w:r>
            <w:r>
              <w:rPr>
                <w:rFonts w:ascii="TeXGyrePagella" w:hAnsi="TeXGyrePagella"/>
                <w:sz w:val="20"/>
              </w:rPr>
              <w:t>acuerdo</w:t>
            </w:r>
            <w:r>
              <w:rPr>
                <w:rFonts w:ascii="TeXGyrePagella" w:hAnsi="TeXGyrePagella"/>
                <w:spacing w:val="-8"/>
                <w:sz w:val="20"/>
              </w:rPr>
              <w:t xml:space="preserve"> </w:t>
            </w:r>
            <w:r>
              <w:rPr>
                <w:rFonts w:ascii="TeXGyrePagella" w:hAnsi="TeXGyrePagella"/>
                <w:sz w:val="20"/>
              </w:rPr>
              <w:t>al</w:t>
            </w:r>
            <w:r>
              <w:rPr>
                <w:rFonts w:ascii="TeXGyrePagella" w:hAnsi="TeXGyrePagella"/>
                <w:spacing w:val="-7"/>
                <w:sz w:val="20"/>
              </w:rPr>
              <w:t xml:space="preserve"> </w:t>
            </w:r>
            <w:r>
              <w:rPr>
                <w:rFonts w:ascii="TeXGyrePagella" w:hAnsi="TeXGyrePagella"/>
                <w:sz w:val="20"/>
              </w:rPr>
              <w:t>numeral</w:t>
            </w:r>
            <w:r>
              <w:rPr>
                <w:rFonts w:ascii="TeXGyrePagella" w:hAnsi="TeXGyrePagella"/>
                <w:spacing w:val="-6"/>
                <w:sz w:val="20"/>
              </w:rPr>
              <w:t xml:space="preserve"> </w:t>
            </w:r>
            <w:r>
              <w:rPr>
                <w:rFonts w:ascii="TeXGyrePagella" w:hAnsi="TeXGyrePagella"/>
                <w:sz w:val="20"/>
              </w:rPr>
              <w:t>2.</w:t>
            </w:r>
            <w:r>
              <w:rPr>
                <w:rFonts w:ascii="TeXGyrePagella" w:hAnsi="TeXGyrePagella"/>
                <w:spacing w:val="-6"/>
                <w:sz w:val="20"/>
              </w:rPr>
              <w:t xml:space="preserve"> </w:t>
            </w:r>
            <w:r>
              <w:rPr>
                <w:rFonts w:ascii="TeXGyrePagella" w:hAnsi="TeXGyrePagella"/>
                <w:sz w:val="20"/>
              </w:rPr>
              <w:t>DESCRIPCIÓN</w:t>
            </w:r>
            <w:r>
              <w:rPr>
                <w:rFonts w:ascii="TeXGyrePagella" w:hAnsi="TeXGyrePagella"/>
                <w:spacing w:val="-7"/>
                <w:sz w:val="20"/>
              </w:rPr>
              <w:t xml:space="preserve"> </w:t>
            </w:r>
            <w:r>
              <w:rPr>
                <w:rFonts w:ascii="TeXGyrePagella" w:hAnsi="TeXGyrePagella"/>
                <w:sz w:val="20"/>
              </w:rPr>
              <w:t xml:space="preserve">DE LOS BIENES, </w:t>
            </w:r>
            <w:r>
              <w:rPr>
                <w:rFonts w:ascii="TeXGyrePagella" w:hAnsi="TeXGyrePagella"/>
                <w:b/>
                <w:i/>
                <w:sz w:val="20"/>
              </w:rPr>
              <w:t>(NO</w:t>
            </w:r>
            <w:r>
              <w:rPr>
                <w:rFonts w:ascii="TeXGyrePagella" w:hAnsi="TeXGyrePagella"/>
                <w:b/>
                <w:i/>
                <w:spacing w:val="-1"/>
                <w:sz w:val="20"/>
              </w:rPr>
              <w:t xml:space="preserve"> </w:t>
            </w:r>
            <w:r>
              <w:rPr>
                <w:rFonts w:ascii="TeXGyrePagella" w:hAnsi="TeXGyrePagella"/>
                <w:b/>
                <w:i/>
                <w:sz w:val="20"/>
              </w:rPr>
              <w:t>SUBSANABLE)</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820"/>
        </w:trPr>
        <w:tc>
          <w:tcPr>
            <w:tcW w:w="703" w:type="dxa"/>
          </w:tcPr>
          <w:p w:rsidR="00D041BB" w:rsidRDefault="00D041BB" w:rsidP="00D041BB">
            <w:pPr>
              <w:pStyle w:val="TableParagraph"/>
              <w:spacing w:line="249" w:lineRule="exact"/>
              <w:ind w:right="151"/>
              <w:jc w:val="right"/>
              <w:rPr>
                <w:rFonts w:ascii="TeXGyrePagella"/>
                <w:sz w:val="20"/>
              </w:rPr>
            </w:pPr>
            <w:r>
              <w:rPr>
                <w:rFonts w:ascii="TeXGyrePagella"/>
                <w:w w:val="99"/>
                <w:sz w:val="20"/>
              </w:rPr>
              <w:t>2</w:t>
            </w:r>
          </w:p>
        </w:tc>
        <w:tc>
          <w:tcPr>
            <w:tcW w:w="5672" w:type="dxa"/>
          </w:tcPr>
          <w:p w:rsidR="00D041BB" w:rsidRDefault="00D041BB" w:rsidP="00D041BB">
            <w:pPr>
              <w:pStyle w:val="TableParagraph"/>
              <w:spacing w:line="216" w:lineRule="auto"/>
              <w:ind w:left="215" w:right="234"/>
              <w:jc w:val="both"/>
              <w:rPr>
                <w:rFonts w:ascii="TeXGyrePagella" w:hAnsi="TeXGyrePagella"/>
                <w:b/>
                <w:i/>
                <w:sz w:val="20"/>
              </w:rPr>
            </w:pPr>
            <w:r>
              <w:rPr>
                <w:rFonts w:ascii="TeXGyrePagella" w:hAnsi="TeXGyrePagella"/>
                <w:sz w:val="20"/>
              </w:rPr>
              <w:t xml:space="preserve">Presentar Certificado de Garantía del oferente, que especifique el alcance de la misma con relación a los elementos ofertados. </w:t>
            </w:r>
            <w:r>
              <w:rPr>
                <w:rFonts w:ascii="TeXGyrePagella" w:hAnsi="TeXGyrePagella"/>
                <w:b/>
                <w:i/>
                <w:sz w:val="20"/>
              </w:rPr>
              <w:t>(NO SUBSANABLE) (Si aplica)</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bl>
    <w:p w:rsidR="00D041BB" w:rsidRPr="009967D6" w:rsidRDefault="00D041BB" w:rsidP="00D041BB">
      <w:pPr>
        <w:pStyle w:val="Default"/>
        <w:spacing w:after="120"/>
        <w:rPr>
          <w:b/>
          <w:sz w:val="20"/>
          <w:szCs w:val="20"/>
          <w:u w:val="single"/>
        </w:rPr>
      </w:pPr>
    </w:p>
    <w:p w:rsidR="00D041BB" w:rsidRDefault="00D041BB" w:rsidP="00D041BB">
      <w:pPr>
        <w:pStyle w:val="Default"/>
        <w:spacing w:after="120"/>
        <w:rPr>
          <w:b/>
          <w:sz w:val="20"/>
          <w:szCs w:val="20"/>
          <w:u w:val="single"/>
        </w:rPr>
      </w:pPr>
      <w:r>
        <w:rPr>
          <w:b/>
          <w:sz w:val="20"/>
          <w:szCs w:val="20"/>
          <w:u w:val="single"/>
        </w:rPr>
        <w:t xml:space="preserve">CRITERIO DE </w:t>
      </w:r>
      <w:r w:rsidRPr="009967D6">
        <w:rPr>
          <w:b/>
          <w:sz w:val="20"/>
          <w:szCs w:val="20"/>
          <w:u w:val="single"/>
        </w:rPr>
        <w:t xml:space="preserve"> ADJUDICACIÓN </w:t>
      </w:r>
    </w:p>
    <w:p w:rsidR="00D041BB" w:rsidRPr="009967D6" w:rsidRDefault="00D041BB" w:rsidP="00D041BB">
      <w:pPr>
        <w:pStyle w:val="Default"/>
        <w:spacing w:after="120"/>
        <w:rPr>
          <w:b/>
          <w:sz w:val="20"/>
          <w:szCs w:val="20"/>
          <w:u w:val="single"/>
        </w:rPr>
      </w:pPr>
    </w:p>
    <w:p w:rsidR="00D041BB" w:rsidRPr="009967D6" w:rsidRDefault="00D041BB" w:rsidP="00D041BB">
      <w:pPr>
        <w:pStyle w:val="Default"/>
        <w:numPr>
          <w:ilvl w:val="0"/>
          <w:numId w:val="5"/>
        </w:numPr>
        <w:spacing w:after="120"/>
        <w:jc w:val="both"/>
        <w:rPr>
          <w:sz w:val="20"/>
          <w:szCs w:val="20"/>
        </w:rPr>
      </w:pPr>
      <w:r w:rsidRPr="009967D6">
        <w:rPr>
          <w:sz w:val="20"/>
          <w:szCs w:val="20"/>
        </w:rPr>
        <w:t>La Evaluación Técnica se basa en el criterio:</w:t>
      </w:r>
    </w:p>
    <w:p w:rsidR="00D041BB" w:rsidRDefault="00D041BB" w:rsidP="00D041BB">
      <w:pPr>
        <w:pStyle w:val="Default"/>
        <w:numPr>
          <w:ilvl w:val="1"/>
          <w:numId w:val="5"/>
        </w:numPr>
        <w:jc w:val="both"/>
        <w:rPr>
          <w:sz w:val="20"/>
          <w:szCs w:val="20"/>
        </w:rPr>
      </w:pPr>
      <w:r w:rsidRPr="009967D6">
        <w:rPr>
          <w:sz w:val="20"/>
          <w:szCs w:val="20"/>
        </w:rPr>
        <w:t>Documentación completa y actualizada</w:t>
      </w:r>
    </w:p>
    <w:p w:rsidR="00D041BB" w:rsidRPr="009967D6" w:rsidRDefault="00D041BB" w:rsidP="00D041BB">
      <w:pPr>
        <w:pStyle w:val="Default"/>
        <w:numPr>
          <w:ilvl w:val="1"/>
          <w:numId w:val="5"/>
        </w:numPr>
        <w:jc w:val="both"/>
        <w:rPr>
          <w:sz w:val="20"/>
          <w:szCs w:val="20"/>
        </w:rPr>
      </w:pPr>
      <w:r>
        <w:rPr>
          <w:sz w:val="20"/>
          <w:szCs w:val="20"/>
        </w:rPr>
        <w:t xml:space="preserve">La oferta técnica que cumpla con las especificaciones solicitadas </w:t>
      </w:r>
    </w:p>
    <w:p w:rsidR="00D041BB" w:rsidRDefault="00D041BB" w:rsidP="00D041BB">
      <w:pPr>
        <w:pStyle w:val="Default"/>
        <w:spacing w:after="132"/>
        <w:ind w:left="720"/>
        <w:jc w:val="both"/>
        <w:rPr>
          <w:sz w:val="20"/>
          <w:szCs w:val="20"/>
        </w:rPr>
      </w:pPr>
    </w:p>
    <w:p w:rsidR="00D041BB" w:rsidRPr="009967D6" w:rsidRDefault="00D041BB" w:rsidP="00D041BB">
      <w:pPr>
        <w:pStyle w:val="Default"/>
        <w:numPr>
          <w:ilvl w:val="0"/>
          <w:numId w:val="5"/>
        </w:numPr>
        <w:spacing w:after="132"/>
        <w:jc w:val="both"/>
        <w:rPr>
          <w:sz w:val="20"/>
          <w:szCs w:val="20"/>
        </w:rPr>
      </w:pPr>
      <w:r w:rsidRPr="009967D6">
        <w:rPr>
          <w:sz w:val="20"/>
          <w:szCs w:val="20"/>
        </w:rPr>
        <w:t>La adjudicación se hará al oferente calificado que cumpla con lo siguiente:</w:t>
      </w:r>
    </w:p>
    <w:p w:rsidR="00D041BB" w:rsidRPr="00474441" w:rsidRDefault="00D041BB" w:rsidP="00D041BB">
      <w:pPr>
        <w:pStyle w:val="Default"/>
        <w:numPr>
          <w:ilvl w:val="1"/>
          <w:numId w:val="5"/>
        </w:numPr>
        <w:jc w:val="both"/>
        <w:rPr>
          <w:b/>
          <w:sz w:val="20"/>
          <w:szCs w:val="20"/>
        </w:rPr>
      </w:pPr>
      <w:r w:rsidRPr="00474441">
        <w:rPr>
          <w:b/>
          <w:sz w:val="20"/>
          <w:szCs w:val="20"/>
        </w:rPr>
        <w:t>Menor precio ofertado</w:t>
      </w:r>
    </w:p>
    <w:p w:rsidR="00D041BB" w:rsidRDefault="00D041BB" w:rsidP="00D041BB">
      <w:pPr>
        <w:pStyle w:val="Default"/>
        <w:numPr>
          <w:ilvl w:val="1"/>
          <w:numId w:val="5"/>
        </w:numPr>
        <w:jc w:val="both"/>
        <w:rPr>
          <w:sz w:val="20"/>
          <w:szCs w:val="20"/>
        </w:rPr>
      </w:pPr>
      <w:r w:rsidRPr="009967D6">
        <w:rPr>
          <w:sz w:val="20"/>
          <w:szCs w:val="20"/>
        </w:rPr>
        <w:t>Mayor tiempo de Garantía</w:t>
      </w:r>
    </w:p>
    <w:p w:rsidR="00D041BB" w:rsidRPr="0063784A" w:rsidRDefault="00D041BB" w:rsidP="00D041BB">
      <w:pPr>
        <w:pStyle w:val="Default"/>
        <w:numPr>
          <w:ilvl w:val="1"/>
          <w:numId w:val="5"/>
        </w:numPr>
        <w:jc w:val="both"/>
        <w:rPr>
          <w:b/>
          <w:sz w:val="20"/>
          <w:szCs w:val="20"/>
        </w:rPr>
      </w:pPr>
      <w:r w:rsidRPr="0063784A">
        <w:rPr>
          <w:b/>
          <w:sz w:val="20"/>
          <w:szCs w:val="20"/>
        </w:rPr>
        <w:t>La oferta será adjudicada por ítems</w:t>
      </w:r>
    </w:p>
    <w:p w:rsidR="00D041BB" w:rsidRPr="009967D6" w:rsidRDefault="00D041BB" w:rsidP="00D041BB">
      <w:pPr>
        <w:pStyle w:val="Default"/>
        <w:numPr>
          <w:ilvl w:val="1"/>
          <w:numId w:val="5"/>
        </w:numPr>
        <w:jc w:val="both"/>
        <w:rPr>
          <w:sz w:val="20"/>
          <w:szCs w:val="20"/>
        </w:rPr>
      </w:pPr>
      <w:r w:rsidRPr="009967D6">
        <w:rPr>
          <w:sz w:val="20"/>
          <w:szCs w:val="20"/>
        </w:rPr>
        <w:t>Menor tiempo de entrega ofrecido luego de la adjudicación.</w:t>
      </w:r>
    </w:p>
    <w:p w:rsidR="0072336D" w:rsidRDefault="0072336D" w:rsidP="0072336D">
      <w:pPr>
        <w:pStyle w:val="Default"/>
        <w:spacing w:after="132"/>
        <w:ind w:left="720"/>
        <w:jc w:val="both"/>
        <w:rPr>
          <w:rFonts w:asciiTheme="minorHAnsi" w:hAnsiTheme="minorHAnsi"/>
          <w:sz w:val="22"/>
          <w:szCs w:val="22"/>
        </w:rPr>
      </w:pPr>
    </w:p>
    <w:p w:rsidR="00311F3A" w:rsidRPr="00755A69" w:rsidRDefault="00311F3A" w:rsidP="003B672D">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311F3A" w:rsidRDefault="00311F3A" w:rsidP="008B31E6">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sidR="00331B75">
        <w:rPr>
          <w:rFonts w:asciiTheme="minorHAnsi" w:hAnsiTheme="minorHAnsi"/>
          <w:sz w:val="22"/>
          <w:szCs w:val="22"/>
        </w:rPr>
        <w:t xml:space="preserve"> Técnica se basa en los siguientes</w:t>
      </w:r>
      <w:r>
        <w:rPr>
          <w:rFonts w:asciiTheme="minorHAnsi" w:hAnsiTheme="minorHAnsi"/>
          <w:sz w:val="22"/>
          <w:szCs w:val="22"/>
        </w:rPr>
        <w:t xml:space="preserve"> criterio</w:t>
      </w:r>
      <w:r w:rsidR="00331B75">
        <w:rPr>
          <w:rFonts w:asciiTheme="minorHAnsi" w:hAnsiTheme="minorHAnsi"/>
          <w:sz w:val="22"/>
          <w:szCs w:val="22"/>
        </w:rPr>
        <w:t>s</w:t>
      </w:r>
      <w:r>
        <w:rPr>
          <w:rFonts w:asciiTheme="minorHAnsi" w:hAnsiTheme="minorHAnsi"/>
          <w:sz w:val="22"/>
          <w:szCs w:val="22"/>
        </w:rPr>
        <w:t>:</w:t>
      </w:r>
    </w:p>
    <w:p w:rsidR="00311F3A" w:rsidRDefault="00311F3A" w:rsidP="00E533CC">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r w:rsidR="00331B75">
        <w:rPr>
          <w:rFonts w:asciiTheme="minorHAnsi" w:hAnsiTheme="minorHAnsi"/>
          <w:sz w:val="22"/>
          <w:szCs w:val="22"/>
        </w:rPr>
        <w:t>.</w:t>
      </w:r>
    </w:p>
    <w:p w:rsidR="00612683" w:rsidRDefault="00856B90" w:rsidP="00612683">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r w:rsidR="00331B75">
        <w:rPr>
          <w:rFonts w:asciiTheme="minorHAnsi" w:hAnsiTheme="minorHAnsi"/>
          <w:sz w:val="22"/>
          <w:szCs w:val="22"/>
        </w:rPr>
        <w:t>.</w:t>
      </w:r>
    </w:p>
    <w:p w:rsidR="00D905CA" w:rsidRDefault="00D905CA" w:rsidP="00E27E44">
      <w:pPr>
        <w:pStyle w:val="Default"/>
        <w:numPr>
          <w:ilvl w:val="1"/>
          <w:numId w:val="5"/>
        </w:numPr>
        <w:jc w:val="both"/>
        <w:rPr>
          <w:rFonts w:asciiTheme="minorHAnsi" w:hAnsiTheme="minorHAnsi"/>
          <w:sz w:val="22"/>
          <w:szCs w:val="22"/>
        </w:rPr>
      </w:pPr>
      <w:r w:rsidRPr="00612683">
        <w:rPr>
          <w:rFonts w:asciiTheme="minorHAnsi" w:hAnsiTheme="minorHAnsi"/>
          <w:sz w:val="22"/>
          <w:szCs w:val="22"/>
        </w:rPr>
        <w:t>El rubro de su empresa debe coincidir con los artículos solicitados</w:t>
      </w:r>
      <w:r w:rsidR="00331B75">
        <w:rPr>
          <w:rFonts w:asciiTheme="minorHAnsi" w:hAnsiTheme="minorHAnsi"/>
          <w:sz w:val="22"/>
          <w:szCs w:val="22"/>
        </w:rPr>
        <w:t>.</w:t>
      </w:r>
    </w:p>
    <w:p w:rsidR="009D6FF5" w:rsidRPr="009D6FF5" w:rsidRDefault="00E27E44" w:rsidP="009D6FF5">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r w:rsidR="00331B75">
        <w:rPr>
          <w:rFonts w:asciiTheme="minorHAnsi" w:hAnsiTheme="minorHAnsi"/>
          <w:sz w:val="22"/>
          <w:szCs w:val="22"/>
        </w:rPr>
        <w:t>.</w:t>
      </w:r>
    </w:p>
    <w:p w:rsidR="006B191E" w:rsidRPr="006B191E" w:rsidRDefault="00311F3A" w:rsidP="006B191E">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sidR="00E66949">
        <w:rPr>
          <w:rFonts w:asciiTheme="minorHAnsi" w:hAnsiTheme="minorHAnsi"/>
          <w:sz w:val="22"/>
          <w:szCs w:val="22"/>
        </w:rPr>
        <w:t xml:space="preserve">calificado </w:t>
      </w:r>
      <w:r w:rsidRPr="00565192">
        <w:rPr>
          <w:rFonts w:asciiTheme="minorHAnsi" w:hAnsiTheme="minorHAnsi"/>
          <w:sz w:val="22"/>
          <w:szCs w:val="22"/>
        </w:rPr>
        <w:t>que cumpla con lo siguiente:</w:t>
      </w:r>
    </w:p>
    <w:p w:rsidR="006B191E" w:rsidRPr="0002739C" w:rsidRDefault="006B191E" w:rsidP="006B191E">
      <w:pPr>
        <w:pStyle w:val="Default"/>
        <w:numPr>
          <w:ilvl w:val="1"/>
          <w:numId w:val="5"/>
        </w:numPr>
        <w:jc w:val="both"/>
        <w:rPr>
          <w:rFonts w:asciiTheme="minorHAnsi" w:hAnsiTheme="minorHAnsi"/>
          <w:sz w:val="22"/>
          <w:szCs w:val="22"/>
        </w:rPr>
      </w:pPr>
      <w:r w:rsidRPr="00975980">
        <w:rPr>
          <w:rFonts w:asciiTheme="minorHAnsi" w:hAnsiTheme="minorHAnsi"/>
          <w:sz w:val="22"/>
          <w:szCs w:val="22"/>
        </w:rPr>
        <w:lastRenderedPageBreak/>
        <w:t>Menor precio ofertado</w:t>
      </w:r>
    </w:p>
    <w:p w:rsidR="0061127E" w:rsidRDefault="006B191E" w:rsidP="006B191E">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w:t>
      </w:r>
      <w:r w:rsidR="00480F24">
        <w:rPr>
          <w:rFonts w:asciiTheme="minorHAnsi" w:hAnsiTheme="minorHAnsi"/>
          <w:sz w:val="22"/>
          <w:szCs w:val="22"/>
        </w:rPr>
        <w:t xml:space="preserve"> (De 1 a 5)</w:t>
      </w:r>
      <w:r w:rsidR="00022120">
        <w:rPr>
          <w:rFonts w:asciiTheme="minorHAnsi" w:hAnsiTheme="minorHAnsi"/>
          <w:sz w:val="22"/>
          <w:szCs w:val="22"/>
        </w:rPr>
        <w:t xml:space="preserve"> días luego de la adjudicación.</w:t>
      </w:r>
    </w:p>
    <w:p w:rsidR="00B53C56" w:rsidRDefault="00B53C56" w:rsidP="006B191E">
      <w:pPr>
        <w:pStyle w:val="Default"/>
        <w:numPr>
          <w:ilvl w:val="1"/>
          <w:numId w:val="5"/>
        </w:numPr>
        <w:jc w:val="both"/>
        <w:rPr>
          <w:rFonts w:asciiTheme="minorHAnsi" w:hAnsiTheme="minorHAnsi"/>
          <w:sz w:val="22"/>
          <w:szCs w:val="22"/>
        </w:rPr>
      </w:pPr>
      <w:r>
        <w:rPr>
          <w:rFonts w:asciiTheme="minorHAnsi" w:hAnsiTheme="minorHAnsi"/>
          <w:sz w:val="22"/>
          <w:szCs w:val="22"/>
        </w:rPr>
        <w:t>Todo lo solicitado en el pliego de condiciones</w:t>
      </w:r>
    </w:p>
    <w:p w:rsidR="00C411DC" w:rsidRDefault="00C411DC" w:rsidP="00C411DC">
      <w:pPr>
        <w:pStyle w:val="Default"/>
        <w:ind w:left="1440"/>
        <w:jc w:val="both"/>
        <w:rPr>
          <w:rFonts w:asciiTheme="minorHAnsi" w:hAnsiTheme="minorHAnsi"/>
          <w:sz w:val="22"/>
          <w:szCs w:val="22"/>
        </w:rPr>
      </w:pPr>
    </w:p>
    <w:p w:rsidR="005F646B" w:rsidRPr="001547BB" w:rsidRDefault="00304D8E" w:rsidP="00304D8E">
      <w:pPr>
        <w:pStyle w:val="Default"/>
        <w:jc w:val="center"/>
        <w:rPr>
          <w:rFonts w:asciiTheme="minorHAnsi" w:hAnsiTheme="minorHAnsi"/>
          <w:b/>
          <w:szCs w:val="22"/>
          <w:u w:val="single"/>
        </w:rPr>
      </w:pPr>
      <w:r>
        <w:rPr>
          <w:rFonts w:asciiTheme="minorHAnsi" w:hAnsiTheme="minorHAnsi"/>
          <w:b/>
          <w:szCs w:val="22"/>
          <w:u w:val="single"/>
        </w:rPr>
        <w:t>DESCRIPCI</w:t>
      </w:r>
      <w:r w:rsidR="001547BB" w:rsidRPr="001547BB">
        <w:rPr>
          <w:rFonts w:asciiTheme="minorHAnsi" w:hAnsiTheme="minorHAnsi"/>
          <w:b/>
          <w:szCs w:val="22"/>
          <w:u w:val="single"/>
        </w:rPr>
        <w:t>Ó</w:t>
      </w:r>
      <w:r>
        <w:rPr>
          <w:rFonts w:asciiTheme="minorHAnsi" w:hAnsiTheme="minorHAnsi"/>
          <w:b/>
          <w:szCs w:val="22"/>
          <w:u w:val="single"/>
        </w:rPr>
        <w:t>N DE LOS BIENES</w:t>
      </w:r>
    </w:p>
    <w:tbl>
      <w:tblPr>
        <w:tblW w:w="9082"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52"/>
        <w:gridCol w:w="4880"/>
        <w:gridCol w:w="1548"/>
        <w:gridCol w:w="1702"/>
      </w:tblGrid>
      <w:tr w:rsidR="003E4EAF" w:rsidRPr="00C01BD1" w:rsidTr="003E4EAF">
        <w:trPr>
          <w:trHeight w:val="292"/>
          <w:jc w:val="center"/>
        </w:trPr>
        <w:tc>
          <w:tcPr>
            <w:tcW w:w="952" w:type="dxa"/>
            <w:shd w:val="clear" w:color="auto" w:fill="auto"/>
            <w:noWrap/>
            <w:vAlign w:val="center"/>
            <w:hideMark/>
          </w:tcPr>
          <w:p w:rsidR="003E4EAF" w:rsidRPr="00C01BD1" w:rsidRDefault="003E4EAF" w:rsidP="003E6035">
            <w:pPr>
              <w:spacing w:after="0" w:line="240" w:lineRule="auto"/>
              <w:jc w:val="center"/>
              <w:rPr>
                <w:rFonts w:ascii="Arial" w:eastAsia="Times New Roman" w:hAnsi="Arial" w:cs="Arial"/>
                <w:b/>
                <w:bCs/>
                <w:color w:val="000000"/>
                <w:lang w:eastAsia="es-DO"/>
              </w:rPr>
            </w:pPr>
            <w:bookmarkStart w:id="0" w:name="_Toc271530548"/>
            <w:bookmarkStart w:id="1" w:name="_Toc496766528"/>
            <w:r w:rsidRPr="00C01BD1">
              <w:rPr>
                <w:rFonts w:ascii="Arial" w:eastAsia="Times New Roman" w:hAnsi="Arial" w:cs="Arial"/>
                <w:b/>
                <w:bCs/>
                <w:color w:val="000000"/>
                <w:lang w:eastAsia="es-DO"/>
              </w:rPr>
              <w:t>ÍTEM</w:t>
            </w:r>
          </w:p>
        </w:tc>
        <w:tc>
          <w:tcPr>
            <w:tcW w:w="4880" w:type="dxa"/>
            <w:shd w:val="clear" w:color="auto" w:fill="auto"/>
            <w:noWrap/>
            <w:vAlign w:val="center"/>
            <w:hideMark/>
          </w:tcPr>
          <w:p w:rsidR="003E4EAF" w:rsidRPr="00C01BD1" w:rsidRDefault="003E4EAF" w:rsidP="003E6035">
            <w:pPr>
              <w:spacing w:after="0" w:line="240" w:lineRule="auto"/>
              <w:jc w:val="center"/>
              <w:rPr>
                <w:rFonts w:ascii="Arial" w:eastAsia="Times New Roman" w:hAnsi="Arial" w:cs="Arial"/>
                <w:b/>
                <w:bCs/>
                <w:color w:val="000000"/>
                <w:lang w:eastAsia="es-DO"/>
              </w:rPr>
            </w:pPr>
            <w:r w:rsidRPr="00C01BD1">
              <w:rPr>
                <w:rFonts w:ascii="Arial" w:eastAsia="Times New Roman" w:hAnsi="Arial" w:cs="Arial"/>
                <w:b/>
                <w:bCs/>
                <w:color w:val="000000"/>
                <w:lang w:eastAsia="es-DO"/>
              </w:rPr>
              <w:t>DESCRIPCIÓN</w:t>
            </w:r>
          </w:p>
        </w:tc>
        <w:tc>
          <w:tcPr>
            <w:tcW w:w="1548" w:type="dxa"/>
            <w:shd w:val="clear" w:color="auto" w:fill="auto"/>
            <w:vAlign w:val="center"/>
            <w:hideMark/>
          </w:tcPr>
          <w:p w:rsidR="003E4EAF" w:rsidRPr="00C01BD1" w:rsidRDefault="003E4EAF" w:rsidP="003E6035">
            <w:pPr>
              <w:spacing w:after="0" w:line="240" w:lineRule="auto"/>
              <w:jc w:val="center"/>
              <w:rPr>
                <w:rFonts w:ascii="Arial" w:eastAsia="Times New Roman" w:hAnsi="Arial" w:cs="Arial"/>
                <w:b/>
                <w:bCs/>
                <w:color w:val="000000"/>
                <w:lang w:eastAsia="es-DO"/>
              </w:rPr>
            </w:pPr>
            <w:r w:rsidRPr="00C01BD1">
              <w:rPr>
                <w:rFonts w:ascii="Arial" w:eastAsia="Times New Roman" w:hAnsi="Arial" w:cs="Arial"/>
                <w:b/>
                <w:bCs/>
                <w:color w:val="000000"/>
                <w:lang w:eastAsia="es-DO"/>
              </w:rPr>
              <w:t>UNIDAD DE MEDIDA</w:t>
            </w:r>
          </w:p>
        </w:tc>
        <w:tc>
          <w:tcPr>
            <w:tcW w:w="1702" w:type="dxa"/>
            <w:shd w:val="clear" w:color="auto" w:fill="auto"/>
            <w:vAlign w:val="center"/>
            <w:hideMark/>
          </w:tcPr>
          <w:p w:rsidR="003E4EAF" w:rsidRPr="00C01BD1" w:rsidRDefault="003E4EAF" w:rsidP="003E6035">
            <w:pPr>
              <w:spacing w:after="0" w:line="240" w:lineRule="auto"/>
              <w:jc w:val="center"/>
              <w:rPr>
                <w:rFonts w:ascii="Arial" w:eastAsia="Times New Roman" w:hAnsi="Arial" w:cs="Arial"/>
                <w:b/>
                <w:bCs/>
                <w:color w:val="000000"/>
                <w:lang w:eastAsia="es-DO"/>
              </w:rPr>
            </w:pPr>
            <w:r w:rsidRPr="00C01BD1">
              <w:rPr>
                <w:rFonts w:ascii="Arial" w:eastAsia="Times New Roman" w:hAnsi="Arial" w:cs="Arial"/>
                <w:b/>
                <w:bCs/>
                <w:color w:val="000000"/>
                <w:lang w:eastAsia="es-DO"/>
              </w:rPr>
              <w:t>CANTIDAD SOLICITADA</w:t>
            </w:r>
          </w:p>
        </w:tc>
      </w:tr>
      <w:tr w:rsidR="003E4EAF" w:rsidRPr="008D1F22" w:rsidTr="003E4EAF">
        <w:trPr>
          <w:trHeight w:val="319"/>
          <w:jc w:val="center"/>
        </w:trPr>
        <w:tc>
          <w:tcPr>
            <w:tcW w:w="952" w:type="dxa"/>
            <w:shd w:val="clear" w:color="auto" w:fill="auto"/>
            <w:noWrap/>
            <w:vAlign w:val="center"/>
          </w:tcPr>
          <w:p w:rsidR="003E4EAF" w:rsidRPr="004931F3" w:rsidRDefault="003E4EAF" w:rsidP="003E6035">
            <w:pPr>
              <w:spacing w:after="0"/>
              <w:jc w:val="center"/>
            </w:pPr>
            <w:r w:rsidRPr="004931F3">
              <w:t>1</w:t>
            </w:r>
          </w:p>
        </w:tc>
        <w:tc>
          <w:tcPr>
            <w:tcW w:w="4880" w:type="dxa"/>
            <w:shd w:val="clear" w:color="auto" w:fill="auto"/>
            <w:noWrap/>
            <w:vAlign w:val="center"/>
          </w:tcPr>
          <w:p w:rsidR="003E4EAF" w:rsidRPr="00FC642A" w:rsidRDefault="003E4EAF" w:rsidP="008A3A75">
            <w:pPr>
              <w:autoSpaceDE w:val="0"/>
              <w:autoSpaceDN w:val="0"/>
              <w:adjustRightInd w:val="0"/>
              <w:spacing w:after="0"/>
              <w:jc w:val="center"/>
              <w:rPr>
                <w:rFonts w:eastAsia="Calibri" w:cs="Arial"/>
                <w:sz w:val="20"/>
                <w:szCs w:val="20"/>
              </w:rPr>
            </w:pPr>
            <w:r>
              <w:rPr>
                <w:rFonts w:eastAsia="Calibri" w:cs="Arial"/>
                <w:sz w:val="20"/>
                <w:szCs w:val="20"/>
              </w:rPr>
              <w:t>ALCOHOL ETÍLICO 95%</w:t>
            </w:r>
          </w:p>
        </w:tc>
        <w:tc>
          <w:tcPr>
            <w:tcW w:w="1548" w:type="dxa"/>
            <w:shd w:val="clear" w:color="auto" w:fill="auto"/>
            <w:noWrap/>
            <w:vAlign w:val="center"/>
          </w:tcPr>
          <w:p w:rsidR="003E4EAF" w:rsidRPr="00FC642A" w:rsidRDefault="003E4EAF" w:rsidP="008A3A75">
            <w:pPr>
              <w:autoSpaceDE w:val="0"/>
              <w:autoSpaceDN w:val="0"/>
              <w:adjustRightInd w:val="0"/>
              <w:spacing w:after="0"/>
              <w:jc w:val="center"/>
              <w:rPr>
                <w:rFonts w:eastAsia="Calibri" w:cs="Arial"/>
                <w:bCs/>
                <w:sz w:val="20"/>
                <w:szCs w:val="20"/>
              </w:rPr>
            </w:pPr>
            <w:r>
              <w:rPr>
                <w:rFonts w:eastAsia="Calibri" w:cs="Arial"/>
                <w:bCs/>
                <w:sz w:val="20"/>
                <w:szCs w:val="20"/>
              </w:rPr>
              <w:t>GL</w:t>
            </w:r>
          </w:p>
        </w:tc>
        <w:tc>
          <w:tcPr>
            <w:tcW w:w="1702" w:type="dxa"/>
            <w:shd w:val="clear" w:color="auto" w:fill="auto"/>
            <w:noWrap/>
            <w:vAlign w:val="center"/>
          </w:tcPr>
          <w:p w:rsidR="003E4EAF" w:rsidRPr="00FC642A" w:rsidRDefault="003E4EAF" w:rsidP="008A3A75">
            <w:pPr>
              <w:spacing w:after="0"/>
              <w:jc w:val="center"/>
              <w:rPr>
                <w:rFonts w:cs="Arial"/>
                <w:color w:val="000000"/>
                <w:sz w:val="20"/>
                <w:szCs w:val="20"/>
              </w:rPr>
            </w:pPr>
            <w:r>
              <w:rPr>
                <w:rFonts w:cs="Arial"/>
                <w:color w:val="000000"/>
                <w:sz w:val="20"/>
                <w:szCs w:val="20"/>
              </w:rPr>
              <w:t>30</w:t>
            </w:r>
          </w:p>
        </w:tc>
      </w:tr>
      <w:tr w:rsidR="003E4EAF" w:rsidRPr="008D1F22" w:rsidTr="003E4EAF">
        <w:trPr>
          <w:trHeight w:val="336"/>
          <w:jc w:val="center"/>
        </w:trPr>
        <w:tc>
          <w:tcPr>
            <w:tcW w:w="952" w:type="dxa"/>
            <w:shd w:val="clear" w:color="auto" w:fill="auto"/>
            <w:noWrap/>
            <w:vAlign w:val="center"/>
          </w:tcPr>
          <w:p w:rsidR="003E4EAF" w:rsidRPr="004931F3" w:rsidRDefault="003E4EAF" w:rsidP="003E6035">
            <w:pPr>
              <w:spacing w:after="0"/>
              <w:jc w:val="center"/>
            </w:pPr>
            <w:r w:rsidRPr="004931F3">
              <w:t>2</w:t>
            </w:r>
          </w:p>
        </w:tc>
        <w:tc>
          <w:tcPr>
            <w:tcW w:w="4880" w:type="dxa"/>
            <w:shd w:val="clear" w:color="auto" w:fill="auto"/>
            <w:noWrap/>
            <w:vAlign w:val="center"/>
          </w:tcPr>
          <w:p w:rsidR="003E4EAF" w:rsidRPr="00FC642A" w:rsidRDefault="003E4EAF" w:rsidP="008A3A75">
            <w:pPr>
              <w:autoSpaceDE w:val="0"/>
              <w:autoSpaceDN w:val="0"/>
              <w:adjustRightInd w:val="0"/>
              <w:spacing w:after="0"/>
              <w:jc w:val="center"/>
              <w:rPr>
                <w:rFonts w:eastAsia="Calibri" w:cs="Arial"/>
                <w:sz w:val="20"/>
                <w:szCs w:val="20"/>
              </w:rPr>
            </w:pPr>
            <w:r>
              <w:rPr>
                <w:rFonts w:eastAsia="Calibri" w:cs="Arial"/>
                <w:sz w:val="20"/>
                <w:szCs w:val="20"/>
              </w:rPr>
              <w:t>ALCOHOL ISOPROPÍLICO AL 70%</w:t>
            </w:r>
          </w:p>
        </w:tc>
        <w:tc>
          <w:tcPr>
            <w:tcW w:w="1548" w:type="dxa"/>
            <w:shd w:val="clear" w:color="auto" w:fill="auto"/>
            <w:noWrap/>
            <w:vAlign w:val="center"/>
          </w:tcPr>
          <w:p w:rsidR="003E4EAF" w:rsidRPr="00FC642A" w:rsidRDefault="003E4EAF" w:rsidP="008A3A75">
            <w:pPr>
              <w:spacing w:after="0"/>
              <w:jc w:val="center"/>
              <w:rPr>
                <w:sz w:val="20"/>
                <w:szCs w:val="20"/>
              </w:rPr>
            </w:pPr>
            <w:r>
              <w:rPr>
                <w:sz w:val="20"/>
                <w:szCs w:val="20"/>
              </w:rPr>
              <w:t>GL</w:t>
            </w:r>
          </w:p>
        </w:tc>
        <w:tc>
          <w:tcPr>
            <w:tcW w:w="1702" w:type="dxa"/>
            <w:shd w:val="clear" w:color="auto" w:fill="auto"/>
            <w:noWrap/>
            <w:vAlign w:val="center"/>
          </w:tcPr>
          <w:p w:rsidR="003E4EAF" w:rsidRPr="00FC642A" w:rsidRDefault="003E4EAF" w:rsidP="008A3A75">
            <w:pPr>
              <w:spacing w:after="0"/>
              <w:jc w:val="center"/>
              <w:rPr>
                <w:rFonts w:cs="Arial"/>
                <w:color w:val="000000"/>
                <w:sz w:val="20"/>
                <w:szCs w:val="20"/>
              </w:rPr>
            </w:pPr>
            <w:r>
              <w:rPr>
                <w:rFonts w:cs="Arial"/>
                <w:color w:val="000000"/>
                <w:sz w:val="20"/>
                <w:szCs w:val="20"/>
              </w:rPr>
              <w:t>100</w:t>
            </w:r>
          </w:p>
        </w:tc>
      </w:tr>
    </w:tbl>
    <w:p w:rsidR="00CA3931" w:rsidRDefault="00CA3931" w:rsidP="004C2A6B">
      <w:pPr>
        <w:pStyle w:val="Default"/>
        <w:spacing w:after="120"/>
        <w:rPr>
          <w:rFonts w:asciiTheme="minorHAnsi" w:hAnsiTheme="minorHAnsi"/>
          <w:b/>
          <w:szCs w:val="22"/>
          <w:u w:val="single"/>
        </w:rPr>
      </w:pPr>
      <w:bookmarkStart w:id="2" w:name="_GoBack"/>
      <w:bookmarkEnd w:id="2"/>
    </w:p>
    <w:p w:rsidR="003E4EAF" w:rsidRDefault="003E4EAF" w:rsidP="004C2A6B">
      <w:pPr>
        <w:pStyle w:val="Default"/>
        <w:rPr>
          <w:rFonts w:asciiTheme="minorHAnsi" w:hAnsiTheme="minorHAnsi"/>
          <w:b/>
          <w:szCs w:val="22"/>
        </w:rPr>
      </w:pPr>
    </w:p>
    <w:p w:rsidR="00412858" w:rsidRPr="00412858" w:rsidRDefault="00412858" w:rsidP="004C2A6B">
      <w:pPr>
        <w:pStyle w:val="Default"/>
        <w:rPr>
          <w:rFonts w:asciiTheme="minorHAnsi" w:hAnsiTheme="minorHAnsi"/>
          <w:b/>
          <w:szCs w:val="22"/>
        </w:rPr>
      </w:pPr>
      <w:r w:rsidRPr="00412858">
        <w:rPr>
          <w:rFonts w:asciiTheme="minorHAnsi" w:hAnsiTheme="minorHAnsi"/>
          <w:b/>
          <w:szCs w:val="22"/>
        </w:rPr>
        <w:t xml:space="preserve">  </w:t>
      </w:r>
    </w:p>
    <w:p w:rsidR="004C2A6B" w:rsidRPr="0025180D" w:rsidRDefault="004C2A6B" w:rsidP="004C2A6B">
      <w:pPr>
        <w:pStyle w:val="Default"/>
        <w:spacing w:after="120"/>
        <w:rPr>
          <w:rFonts w:asciiTheme="minorHAnsi" w:hAnsiTheme="minorHAnsi"/>
          <w:b/>
          <w:szCs w:val="22"/>
          <w:u w:val="single"/>
        </w:rPr>
      </w:pPr>
      <w:r w:rsidRPr="0025180D">
        <w:rPr>
          <w:rFonts w:asciiTheme="minorHAnsi" w:hAnsiTheme="minorHAnsi"/>
          <w:b/>
          <w:szCs w:val="22"/>
          <w:u w:val="single"/>
        </w:rPr>
        <w:t>INCUMPLIMIENTO DEL CONTRATO</w:t>
      </w:r>
      <w:bookmarkEnd w:id="0"/>
      <w:bookmarkEnd w:id="1"/>
      <w:r>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B50E29" w:rsidRPr="00713372" w:rsidRDefault="004C2A6B" w:rsidP="00511919">
      <w:pPr>
        <w:numPr>
          <w:ilvl w:val="1"/>
          <w:numId w:val="13"/>
        </w:numPr>
        <w:spacing w:after="0" w:line="240" w:lineRule="auto"/>
        <w:jc w:val="both"/>
        <w:rPr>
          <w:rFonts w:cs="Arial"/>
          <w:color w:val="000000"/>
        </w:rPr>
      </w:pPr>
      <w:r w:rsidRPr="00713372">
        <w:rPr>
          <w:rFonts w:cs="Arial"/>
          <w:color w:val="000000"/>
        </w:rPr>
        <w:t>La falta de cali</w:t>
      </w:r>
      <w:bookmarkStart w:id="3" w:name="_Toc496766529"/>
      <w:r w:rsidR="00713372">
        <w:rPr>
          <w:rFonts w:cs="Arial"/>
          <w:color w:val="000000"/>
        </w:rPr>
        <w:t>dad de los bienes/servicios  suministrados.</w:t>
      </w:r>
      <w:r w:rsidR="00A81B36" w:rsidRPr="00713372">
        <w:rPr>
          <w:rFonts w:cs="Arial"/>
          <w:color w:val="000000"/>
        </w:rPr>
        <w:t xml:space="preserve"> </w:t>
      </w:r>
    </w:p>
    <w:p w:rsidR="0072336D" w:rsidRDefault="0072336D" w:rsidP="00511919">
      <w:pPr>
        <w:spacing w:after="0" w:line="240" w:lineRule="auto"/>
        <w:jc w:val="both"/>
        <w:rPr>
          <w:rFonts w:cs="Arial"/>
          <w:color w:val="000000"/>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3"/>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4" w:name="_Toc271530551"/>
      <w:bookmarkStart w:id="5" w:name="_Toc496766531"/>
    </w:p>
    <w:p w:rsidR="003E6035" w:rsidRDefault="003E6035" w:rsidP="004C2A6B">
      <w:pPr>
        <w:pStyle w:val="Ttulo3"/>
        <w:rPr>
          <w:rFonts w:asciiTheme="minorHAnsi" w:eastAsia="SimSun" w:hAnsiTheme="minorHAnsi"/>
          <w:bCs w:val="0"/>
          <w:color w:val="000000"/>
          <w:szCs w:val="22"/>
          <w:u w:val="single"/>
          <w:lang w:val="es-DO" w:eastAsia="en-US"/>
        </w:rPr>
      </w:pPr>
    </w:p>
    <w:p w:rsidR="003E6035" w:rsidRPr="003E6035" w:rsidRDefault="003E6035" w:rsidP="003E6035"/>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FINALIZACIÓN DEL CONTRATO</w:t>
      </w:r>
      <w:bookmarkEnd w:id="4"/>
      <w:bookmarkEnd w:id="5"/>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t>El Contrato</w:t>
      </w:r>
      <w:r>
        <w:rPr>
          <w:rFonts w:cs="Arial"/>
          <w:color w:val="000000"/>
        </w:rPr>
        <w:t xml:space="preserve"> u orden de compra</w:t>
      </w:r>
      <w:r w:rsidRPr="00CC4A37">
        <w:rPr>
          <w:rFonts w:cs="Arial"/>
          <w:color w:val="000000"/>
        </w:rPr>
        <w:t xml:space="preserve"> finalizará</w:t>
      </w:r>
      <w:r w:rsidR="00EA3614">
        <w:rPr>
          <w:rFonts w:cs="Arial"/>
          <w:color w:val="000000"/>
        </w:rPr>
        <w:t xml:space="preserve"> por vencimiento de su plazo, </w:t>
      </w:r>
      <w:r w:rsidRPr="00CC4A37">
        <w:rPr>
          <w:rFonts w:cs="Arial"/>
          <w:color w:val="000000"/>
        </w:rPr>
        <w:t>por</w:t>
      </w:r>
      <w:r w:rsidR="00EA3614">
        <w:rPr>
          <w:rFonts w:cs="Arial"/>
          <w:color w:val="000000"/>
        </w:rPr>
        <w:t xml:space="preserve"> agotar el monto de la contratación o por</w:t>
      </w:r>
      <w:r w:rsidRPr="00CC4A37">
        <w:rPr>
          <w:rFonts w:cs="Arial"/>
          <w:color w:val="000000"/>
        </w:rPr>
        <w:t xml:space="preserve">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C72A51" w:rsidRDefault="004C2A6B" w:rsidP="00C72A51">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6" w:name="_Toc496766536"/>
    </w:p>
    <w:p w:rsidR="00A81B36" w:rsidRDefault="00A81B36" w:rsidP="00A81B36">
      <w:pPr>
        <w:pStyle w:val="Prrafodelista"/>
        <w:spacing w:before="100" w:beforeAutospacing="1" w:after="0" w:line="240" w:lineRule="auto"/>
        <w:ind w:left="1066"/>
        <w:jc w:val="both"/>
        <w:rPr>
          <w:rFonts w:cs="Arial"/>
          <w:color w:val="000000"/>
        </w:rPr>
      </w:pPr>
    </w:p>
    <w:p w:rsidR="003E4EAF" w:rsidRDefault="003E4EAF" w:rsidP="004C2A6B">
      <w:pPr>
        <w:pStyle w:val="Ttulo3"/>
        <w:rPr>
          <w:rFonts w:asciiTheme="minorHAnsi" w:eastAsia="SimSun" w:hAnsiTheme="minorHAnsi"/>
          <w:bCs w:val="0"/>
          <w:color w:val="000000"/>
          <w:szCs w:val="22"/>
          <w:u w:val="single"/>
          <w:lang w:val="es-DO" w:eastAsia="en-US"/>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MODIFICACIÓN DEL CRONOGRAMA DE ENTREGA</w:t>
      </w:r>
      <w:bookmarkEnd w:id="6"/>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7" w:name="_Toc496766518"/>
      <w:r w:rsidRPr="003C1BAE">
        <w:rPr>
          <w:rFonts w:asciiTheme="minorHAnsi" w:eastAsia="SimSun" w:hAnsiTheme="minorHAnsi"/>
          <w:bCs w:val="0"/>
          <w:color w:val="000000"/>
          <w:szCs w:val="22"/>
          <w:u w:val="single"/>
          <w:lang w:val="es-DO" w:eastAsia="en-US"/>
        </w:rPr>
        <w:t>ADJUDICACIONES POSTERIORES</w:t>
      </w:r>
      <w:bookmarkEnd w:id="7"/>
    </w:p>
    <w:p w:rsidR="004C2A6B" w:rsidRPr="003C1BAE" w:rsidRDefault="004C2A6B" w:rsidP="004C2A6B">
      <w:pPr>
        <w:spacing w:after="0"/>
      </w:pPr>
    </w:p>
    <w:p w:rsidR="004C2A6B" w:rsidRDefault="004C2A6B" w:rsidP="003E4EAF">
      <w:pPr>
        <w:spacing w:before="120" w:after="0"/>
        <w:jc w:val="both"/>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B01DE">
      <w:headerReference w:type="default" r:id="rId10"/>
      <w:footerReference w:type="default" r:id="rId11"/>
      <w:pgSz w:w="12240" w:h="15840"/>
      <w:pgMar w:top="2520"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A3D" w:rsidRDefault="00AD5A3D" w:rsidP="00395C76">
      <w:pPr>
        <w:spacing w:after="0" w:line="240" w:lineRule="auto"/>
      </w:pPr>
      <w:r>
        <w:separator/>
      </w:r>
    </w:p>
  </w:endnote>
  <w:endnote w:type="continuationSeparator" w:id="0">
    <w:p w:rsidR="00AD5A3D" w:rsidRDefault="00AD5A3D"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AD5A3D" w:rsidRDefault="00AD5A3D">
            <w:pPr>
              <w:pStyle w:val="Piedepgina"/>
              <w:jc w:val="right"/>
            </w:pPr>
            <w:r>
              <w:t xml:space="preserve">Página </w:t>
            </w:r>
            <w:r w:rsidR="007D4091">
              <w:rPr>
                <w:b/>
                <w:sz w:val="24"/>
                <w:szCs w:val="24"/>
              </w:rPr>
              <w:fldChar w:fldCharType="begin"/>
            </w:r>
            <w:r>
              <w:rPr>
                <w:b/>
              </w:rPr>
              <w:instrText>PAGE</w:instrText>
            </w:r>
            <w:r w:rsidR="007D4091">
              <w:rPr>
                <w:b/>
                <w:sz w:val="24"/>
                <w:szCs w:val="24"/>
              </w:rPr>
              <w:fldChar w:fldCharType="separate"/>
            </w:r>
            <w:r w:rsidR="00C411DC">
              <w:rPr>
                <w:b/>
                <w:noProof/>
              </w:rPr>
              <w:t>1</w:t>
            </w:r>
            <w:r w:rsidR="007D4091">
              <w:rPr>
                <w:b/>
                <w:sz w:val="24"/>
                <w:szCs w:val="24"/>
              </w:rPr>
              <w:fldChar w:fldCharType="end"/>
            </w:r>
            <w:r>
              <w:t xml:space="preserve"> de </w:t>
            </w:r>
            <w:r w:rsidR="007D4091">
              <w:rPr>
                <w:b/>
                <w:sz w:val="24"/>
                <w:szCs w:val="24"/>
              </w:rPr>
              <w:fldChar w:fldCharType="begin"/>
            </w:r>
            <w:r>
              <w:rPr>
                <w:b/>
              </w:rPr>
              <w:instrText>NUMPAGES</w:instrText>
            </w:r>
            <w:r w:rsidR="007D4091">
              <w:rPr>
                <w:b/>
                <w:sz w:val="24"/>
                <w:szCs w:val="24"/>
              </w:rPr>
              <w:fldChar w:fldCharType="separate"/>
            </w:r>
            <w:r w:rsidR="00C411DC">
              <w:rPr>
                <w:b/>
                <w:noProof/>
              </w:rPr>
              <w:t>5</w:t>
            </w:r>
            <w:r w:rsidR="007D4091">
              <w:rPr>
                <w:b/>
                <w:sz w:val="24"/>
                <w:szCs w:val="24"/>
              </w:rPr>
              <w:fldChar w:fldCharType="end"/>
            </w:r>
          </w:p>
        </w:sdtContent>
      </w:sdt>
    </w:sdtContent>
  </w:sdt>
  <w:p w:rsidR="00AD5A3D" w:rsidRDefault="00AD5A3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A3D" w:rsidRDefault="00AD5A3D" w:rsidP="00395C76">
      <w:pPr>
        <w:spacing w:after="0" w:line="240" w:lineRule="auto"/>
      </w:pPr>
      <w:r>
        <w:separator/>
      </w:r>
    </w:p>
  </w:footnote>
  <w:footnote w:type="continuationSeparator" w:id="0">
    <w:p w:rsidR="00AD5A3D" w:rsidRDefault="00AD5A3D"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A3D" w:rsidRDefault="00AD5A3D"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3">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5">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8">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4EFF5561"/>
    <w:multiLevelType w:val="hybridMultilevel"/>
    <w:tmpl w:val="D53CD4D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744A152D"/>
    <w:multiLevelType w:val="hybridMultilevel"/>
    <w:tmpl w:val="221627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7C6FBB"/>
    <w:multiLevelType w:val="hybridMultilevel"/>
    <w:tmpl w:val="548AA7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6"/>
  </w:num>
  <w:num w:numId="5">
    <w:abstractNumId w:val="10"/>
  </w:num>
  <w:num w:numId="6">
    <w:abstractNumId w:val="2"/>
  </w:num>
  <w:num w:numId="7">
    <w:abstractNumId w:val="0"/>
  </w:num>
  <w:num w:numId="8">
    <w:abstractNumId w:val="12"/>
  </w:num>
  <w:num w:numId="9">
    <w:abstractNumId w:val="11"/>
  </w:num>
  <w:num w:numId="10">
    <w:abstractNumId w:val="1"/>
  </w:num>
  <w:num w:numId="11">
    <w:abstractNumId w:val="3"/>
  </w:num>
  <w:num w:numId="12">
    <w:abstractNumId w:val="8"/>
  </w:num>
  <w:num w:numId="13">
    <w:abstractNumId w:val="14"/>
  </w:num>
  <w:num w:numId="14">
    <w:abstractNumId w:val="4"/>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
  <w:rsids>
    <w:rsidRoot w:val="00962366"/>
    <w:rsid w:val="0000024D"/>
    <w:rsid w:val="00005024"/>
    <w:rsid w:val="0000522A"/>
    <w:rsid w:val="00006EF1"/>
    <w:rsid w:val="00013775"/>
    <w:rsid w:val="00013FF3"/>
    <w:rsid w:val="00022120"/>
    <w:rsid w:val="00026178"/>
    <w:rsid w:val="00026F82"/>
    <w:rsid w:val="000327D2"/>
    <w:rsid w:val="000356DE"/>
    <w:rsid w:val="00036445"/>
    <w:rsid w:val="00037FB5"/>
    <w:rsid w:val="000404AF"/>
    <w:rsid w:val="000420BF"/>
    <w:rsid w:val="000471F0"/>
    <w:rsid w:val="00047D69"/>
    <w:rsid w:val="000552D2"/>
    <w:rsid w:val="0006113B"/>
    <w:rsid w:val="00065909"/>
    <w:rsid w:val="000662E2"/>
    <w:rsid w:val="00066E8B"/>
    <w:rsid w:val="00067CAF"/>
    <w:rsid w:val="00070BE1"/>
    <w:rsid w:val="00071A4E"/>
    <w:rsid w:val="000766E5"/>
    <w:rsid w:val="000779ED"/>
    <w:rsid w:val="00077A8A"/>
    <w:rsid w:val="00080E5A"/>
    <w:rsid w:val="00092FF8"/>
    <w:rsid w:val="00094413"/>
    <w:rsid w:val="00094505"/>
    <w:rsid w:val="000A1C26"/>
    <w:rsid w:val="000A22CF"/>
    <w:rsid w:val="000A7D80"/>
    <w:rsid w:val="000B01DE"/>
    <w:rsid w:val="000B0EF0"/>
    <w:rsid w:val="000B24EC"/>
    <w:rsid w:val="000B60FC"/>
    <w:rsid w:val="000B7246"/>
    <w:rsid w:val="000C0455"/>
    <w:rsid w:val="000C197F"/>
    <w:rsid w:val="000C5845"/>
    <w:rsid w:val="000D0E60"/>
    <w:rsid w:val="000D11CD"/>
    <w:rsid w:val="000D6BE4"/>
    <w:rsid w:val="000E1D9D"/>
    <w:rsid w:val="000E2AA0"/>
    <w:rsid w:val="000E5623"/>
    <w:rsid w:val="000F1818"/>
    <w:rsid w:val="000F4D63"/>
    <w:rsid w:val="000F6E67"/>
    <w:rsid w:val="00100A54"/>
    <w:rsid w:val="00106DD5"/>
    <w:rsid w:val="001078A2"/>
    <w:rsid w:val="00107B64"/>
    <w:rsid w:val="001110FE"/>
    <w:rsid w:val="00112D1D"/>
    <w:rsid w:val="0011386B"/>
    <w:rsid w:val="00136440"/>
    <w:rsid w:val="00142081"/>
    <w:rsid w:val="00144895"/>
    <w:rsid w:val="00147118"/>
    <w:rsid w:val="00151FB8"/>
    <w:rsid w:val="001547BB"/>
    <w:rsid w:val="001562FA"/>
    <w:rsid w:val="001646FE"/>
    <w:rsid w:val="00180A6A"/>
    <w:rsid w:val="00184B06"/>
    <w:rsid w:val="001A5EDF"/>
    <w:rsid w:val="001A5F5A"/>
    <w:rsid w:val="001A773D"/>
    <w:rsid w:val="001B1917"/>
    <w:rsid w:val="001B5463"/>
    <w:rsid w:val="001C475D"/>
    <w:rsid w:val="001C6497"/>
    <w:rsid w:val="001D195E"/>
    <w:rsid w:val="001D2E7C"/>
    <w:rsid w:val="001D60A2"/>
    <w:rsid w:val="001E04F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24F4A"/>
    <w:rsid w:val="00226411"/>
    <w:rsid w:val="0023168C"/>
    <w:rsid w:val="002405FA"/>
    <w:rsid w:val="00244055"/>
    <w:rsid w:val="00247184"/>
    <w:rsid w:val="00253711"/>
    <w:rsid w:val="002546D7"/>
    <w:rsid w:val="00255815"/>
    <w:rsid w:val="00255D69"/>
    <w:rsid w:val="00260225"/>
    <w:rsid w:val="00261593"/>
    <w:rsid w:val="00265E41"/>
    <w:rsid w:val="00273DFC"/>
    <w:rsid w:val="00282754"/>
    <w:rsid w:val="00284B31"/>
    <w:rsid w:val="00292606"/>
    <w:rsid w:val="0029338C"/>
    <w:rsid w:val="002935A9"/>
    <w:rsid w:val="00294CF6"/>
    <w:rsid w:val="00295747"/>
    <w:rsid w:val="002A193A"/>
    <w:rsid w:val="002A2EFF"/>
    <w:rsid w:val="002B053C"/>
    <w:rsid w:val="002B079D"/>
    <w:rsid w:val="002B1C6D"/>
    <w:rsid w:val="002B2848"/>
    <w:rsid w:val="002B37DE"/>
    <w:rsid w:val="002B5B41"/>
    <w:rsid w:val="002B68F9"/>
    <w:rsid w:val="002C23E6"/>
    <w:rsid w:val="002D427E"/>
    <w:rsid w:val="002E3B53"/>
    <w:rsid w:val="002E4925"/>
    <w:rsid w:val="002E7718"/>
    <w:rsid w:val="002F3771"/>
    <w:rsid w:val="003002A5"/>
    <w:rsid w:val="00301E10"/>
    <w:rsid w:val="00304D8E"/>
    <w:rsid w:val="00305C5C"/>
    <w:rsid w:val="003068DF"/>
    <w:rsid w:val="00310C10"/>
    <w:rsid w:val="00311F3A"/>
    <w:rsid w:val="003267F0"/>
    <w:rsid w:val="00331B75"/>
    <w:rsid w:val="003329BF"/>
    <w:rsid w:val="00333924"/>
    <w:rsid w:val="00342004"/>
    <w:rsid w:val="00346521"/>
    <w:rsid w:val="003476E0"/>
    <w:rsid w:val="0034771B"/>
    <w:rsid w:val="0036432F"/>
    <w:rsid w:val="00364B96"/>
    <w:rsid w:val="00370A0E"/>
    <w:rsid w:val="00372C6F"/>
    <w:rsid w:val="00380A9B"/>
    <w:rsid w:val="003859F1"/>
    <w:rsid w:val="00387974"/>
    <w:rsid w:val="00387E99"/>
    <w:rsid w:val="00390509"/>
    <w:rsid w:val="003940BB"/>
    <w:rsid w:val="00394A12"/>
    <w:rsid w:val="00394E30"/>
    <w:rsid w:val="00395C76"/>
    <w:rsid w:val="003A4573"/>
    <w:rsid w:val="003A72A3"/>
    <w:rsid w:val="003A7381"/>
    <w:rsid w:val="003B2CA5"/>
    <w:rsid w:val="003B3420"/>
    <w:rsid w:val="003B40C9"/>
    <w:rsid w:val="003B672D"/>
    <w:rsid w:val="003C2553"/>
    <w:rsid w:val="003C5479"/>
    <w:rsid w:val="003D25D3"/>
    <w:rsid w:val="003D44F2"/>
    <w:rsid w:val="003D5539"/>
    <w:rsid w:val="003D60E8"/>
    <w:rsid w:val="003D7F18"/>
    <w:rsid w:val="003E4EAF"/>
    <w:rsid w:val="003E6035"/>
    <w:rsid w:val="003F612D"/>
    <w:rsid w:val="003F65E5"/>
    <w:rsid w:val="00401613"/>
    <w:rsid w:val="00404E04"/>
    <w:rsid w:val="00411429"/>
    <w:rsid w:val="00412858"/>
    <w:rsid w:val="00416628"/>
    <w:rsid w:val="00423AD5"/>
    <w:rsid w:val="00425C70"/>
    <w:rsid w:val="00431C66"/>
    <w:rsid w:val="0043739B"/>
    <w:rsid w:val="004378C8"/>
    <w:rsid w:val="00440E91"/>
    <w:rsid w:val="00452442"/>
    <w:rsid w:val="0045254B"/>
    <w:rsid w:val="0045291D"/>
    <w:rsid w:val="004574EB"/>
    <w:rsid w:val="00460F77"/>
    <w:rsid w:val="0046141F"/>
    <w:rsid w:val="004635E5"/>
    <w:rsid w:val="00464AEC"/>
    <w:rsid w:val="00472739"/>
    <w:rsid w:val="0047538D"/>
    <w:rsid w:val="00475A78"/>
    <w:rsid w:val="00475E23"/>
    <w:rsid w:val="00480F24"/>
    <w:rsid w:val="00491EAB"/>
    <w:rsid w:val="0049476E"/>
    <w:rsid w:val="0049699E"/>
    <w:rsid w:val="004A0679"/>
    <w:rsid w:val="004A638C"/>
    <w:rsid w:val="004A6A2D"/>
    <w:rsid w:val="004A725B"/>
    <w:rsid w:val="004B0CBA"/>
    <w:rsid w:val="004B6114"/>
    <w:rsid w:val="004B7E1D"/>
    <w:rsid w:val="004C1D5A"/>
    <w:rsid w:val="004C2A6B"/>
    <w:rsid w:val="004C5460"/>
    <w:rsid w:val="004D176A"/>
    <w:rsid w:val="004D2D6D"/>
    <w:rsid w:val="004D6DD4"/>
    <w:rsid w:val="004E0D1B"/>
    <w:rsid w:val="004E1803"/>
    <w:rsid w:val="004E3D23"/>
    <w:rsid w:val="004E72FB"/>
    <w:rsid w:val="005065C2"/>
    <w:rsid w:val="00506799"/>
    <w:rsid w:val="00507A6D"/>
    <w:rsid w:val="00507B87"/>
    <w:rsid w:val="00507F46"/>
    <w:rsid w:val="00511919"/>
    <w:rsid w:val="00513BB2"/>
    <w:rsid w:val="0051512D"/>
    <w:rsid w:val="00516E7D"/>
    <w:rsid w:val="0052131D"/>
    <w:rsid w:val="0052159B"/>
    <w:rsid w:val="00527C39"/>
    <w:rsid w:val="0053053F"/>
    <w:rsid w:val="00531120"/>
    <w:rsid w:val="005350E5"/>
    <w:rsid w:val="00537BAC"/>
    <w:rsid w:val="00543F96"/>
    <w:rsid w:val="0054588E"/>
    <w:rsid w:val="00547DE6"/>
    <w:rsid w:val="00550815"/>
    <w:rsid w:val="00560481"/>
    <w:rsid w:val="00560597"/>
    <w:rsid w:val="00560AB1"/>
    <w:rsid w:val="005629D5"/>
    <w:rsid w:val="00564355"/>
    <w:rsid w:val="005661B8"/>
    <w:rsid w:val="00566F0A"/>
    <w:rsid w:val="00571DCF"/>
    <w:rsid w:val="005722BC"/>
    <w:rsid w:val="005772EF"/>
    <w:rsid w:val="0057735E"/>
    <w:rsid w:val="00582ECD"/>
    <w:rsid w:val="00583558"/>
    <w:rsid w:val="00583B1E"/>
    <w:rsid w:val="00585705"/>
    <w:rsid w:val="00592514"/>
    <w:rsid w:val="005A5BEA"/>
    <w:rsid w:val="005A6FA2"/>
    <w:rsid w:val="005B59EC"/>
    <w:rsid w:val="005C2B58"/>
    <w:rsid w:val="005C5E61"/>
    <w:rsid w:val="005C73A7"/>
    <w:rsid w:val="005E137B"/>
    <w:rsid w:val="005E18BF"/>
    <w:rsid w:val="005E4427"/>
    <w:rsid w:val="005E5053"/>
    <w:rsid w:val="005E722F"/>
    <w:rsid w:val="005E7391"/>
    <w:rsid w:val="005F4E16"/>
    <w:rsid w:val="005F5B99"/>
    <w:rsid w:val="005F646B"/>
    <w:rsid w:val="006002EE"/>
    <w:rsid w:val="00600739"/>
    <w:rsid w:val="0060184D"/>
    <w:rsid w:val="006018DC"/>
    <w:rsid w:val="006020E2"/>
    <w:rsid w:val="00605CC5"/>
    <w:rsid w:val="00606A38"/>
    <w:rsid w:val="00606B3F"/>
    <w:rsid w:val="0061127E"/>
    <w:rsid w:val="006115FE"/>
    <w:rsid w:val="00612683"/>
    <w:rsid w:val="00612AD9"/>
    <w:rsid w:val="00612FFC"/>
    <w:rsid w:val="00613F60"/>
    <w:rsid w:val="00616392"/>
    <w:rsid w:val="00616E7C"/>
    <w:rsid w:val="0061763C"/>
    <w:rsid w:val="00617C96"/>
    <w:rsid w:val="006206E6"/>
    <w:rsid w:val="0062461E"/>
    <w:rsid w:val="0063096C"/>
    <w:rsid w:val="00635A23"/>
    <w:rsid w:val="00635EB6"/>
    <w:rsid w:val="00640072"/>
    <w:rsid w:val="0064278A"/>
    <w:rsid w:val="00654AB0"/>
    <w:rsid w:val="00656664"/>
    <w:rsid w:val="006576B6"/>
    <w:rsid w:val="006617C6"/>
    <w:rsid w:val="00662833"/>
    <w:rsid w:val="00667AE6"/>
    <w:rsid w:val="006705A4"/>
    <w:rsid w:val="006752F8"/>
    <w:rsid w:val="00684ED5"/>
    <w:rsid w:val="00693C22"/>
    <w:rsid w:val="00693F7C"/>
    <w:rsid w:val="006A0BDD"/>
    <w:rsid w:val="006A1BB5"/>
    <w:rsid w:val="006A2130"/>
    <w:rsid w:val="006B191E"/>
    <w:rsid w:val="006B1C60"/>
    <w:rsid w:val="006B29DB"/>
    <w:rsid w:val="006B2A08"/>
    <w:rsid w:val="006B5434"/>
    <w:rsid w:val="006B764D"/>
    <w:rsid w:val="006C3F3A"/>
    <w:rsid w:val="006C7CB7"/>
    <w:rsid w:val="006D3212"/>
    <w:rsid w:val="006D580D"/>
    <w:rsid w:val="006D724C"/>
    <w:rsid w:val="006E07F6"/>
    <w:rsid w:val="006E092E"/>
    <w:rsid w:val="006E0D88"/>
    <w:rsid w:val="006E3420"/>
    <w:rsid w:val="006E363A"/>
    <w:rsid w:val="006F2D6E"/>
    <w:rsid w:val="006F68C2"/>
    <w:rsid w:val="006F7DF8"/>
    <w:rsid w:val="00703305"/>
    <w:rsid w:val="007069DD"/>
    <w:rsid w:val="00713372"/>
    <w:rsid w:val="00714854"/>
    <w:rsid w:val="0071626B"/>
    <w:rsid w:val="00722106"/>
    <w:rsid w:val="0072336D"/>
    <w:rsid w:val="00724A0D"/>
    <w:rsid w:val="0072549E"/>
    <w:rsid w:val="00734079"/>
    <w:rsid w:val="00736DCD"/>
    <w:rsid w:val="00741C33"/>
    <w:rsid w:val="00745153"/>
    <w:rsid w:val="0075034A"/>
    <w:rsid w:val="007505D0"/>
    <w:rsid w:val="00753A25"/>
    <w:rsid w:val="00755A69"/>
    <w:rsid w:val="00755C93"/>
    <w:rsid w:val="00757CAB"/>
    <w:rsid w:val="00767DC4"/>
    <w:rsid w:val="00770003"/>
    <w:rsid w:val="00774314"/>
    <w:rsid w:val="00776883"/>
    <w:rsid w:val="00777A9C"/>
    <w:rsid w:val="00780FFE"/>
    <w:rsid w:val="00781EB2"/>
    <w:rsid w:val="007825E0"/>
    <w:rsid w:val="00782858"/>
    <w:rsid w:val="00785F45"/>
    <w:rsid w:val="007929CA"/>
    <w:rsid w:val="007958D7"/>
    <w:rsid w:val="007A2A5E"/>
    <w:rsid w:val="007A3F33"/>
    <w:rsid w:val="007A6898"/>
    <w:rsid w:val="007B201C"/>
    <w:rsid w:val="007B2FE8"/>
    <w:rsid w:val="007B68F6"/>
    <w:rsid w:val="007B73A0"/>
    <w:rsid w:val="007B7994"/>
    <w:rsid w:val="007C085C"/>
    <w:rsid w:val="007C566A"/>
    <w:rsid w:val="007C6924"/>
    <w:rsid w:val="007D0108"/>
    <w:rsid w:val="007D2993"/>
    <w:rsid w:val="007D2BD6"/>
    <w:rsid w:val="007D2C46"/>
    <w:rsid w:val="007D4091"/>
    <w:rsid w:val="007D4D1A"/>
    <w:rsid w:val="007E2131"/>
    <w:rsid w:val="007E3C0C"/>
    <w:rsid w:val="007E45DD"/>
    <w:rsid w:val="007E7841"/>
    <w:rsid w:val="007F5353"/>
    <w:rsid w:val="007F6691"/>
    <w:rsid w:val="00802AE0"/>
    <w:rsid w:val="00812973"/>
    <w:rsid w:val="00813168"/>
    <w:rsid w:val="0081629B"/>
    <w:rsid w:val="00817E56"/>
    <w:rsid w:val="00820EC6"/>
    <w:rsid w:val="00830CF0"/>
    <w:rsid w:val="00840031"/>
    <w:rsid w:val="00840F6F"/>
    <w:rsid w:val="008471BE"/>
    <w:rsid w:val="00854195"/>
    <w:rsid w:val="00856B90"/>
    <w:rsid w:val="00857A94"/>
    <w:rsid w:val="008641BA"/>
    <w:rsid w:val="008646C1"/>
    <w:rsid w:val="008653AB"/>
    <w:rsid w:val="00866C2E"/>
    <w:rsid w:val="00871089"/>
    <w:rsid w:val="00871311"/>
    <w:rsid w:val="008741D3"/>
    <w:rsid w:val="008846B2"/>
    <w:rsid w:val="0088524A"/>
    <w:rsid w:val="00896920"/>
    <w:rsid w:val="00897615"/>
    <w:rsid w:val="008A10CC"/>
    <w:rsid w:val="008B0883"/>
    <w:rsid w:val="008B31E6"/>
    <w:rsid w:val="008B4691"/>
    <w:rsid w:val="008B77C4"/>
    <w:rsid w:val="008B7A8E"/>
    <w:rsid w:val="008C4D03"/>
    <w:rsid w:val="008C72DC"/>
    <w:rsid w:val="008D6BB0"/>
    <w:rsid w:val="008D7400"/>
    <w:rsid w:val="008E2B9E"/>
    <w:rsid w:val="008E7E2A"/>
    <w:rsid w:val="008E7EF2"/>
    <w:rsid w:val="008F03CF"/>
    <w:rsid w:val="008F1DEC"/>
    <w:rsid w:val="008F5AD2"/>
    <w:rsid w:val="00900663"/>
    <w:rsid w:val="009039C5"/>
    <w:rsid w:val="00906E2E"/>
    <w:rsid w:val="00911B2D"/>
    <w:rsid w:val="009144E5"/>
    <w:rsid w:val="00917511"/>
    <w:rsid w:val="00917C43"/>
    <w:rsid w:val="00921282"/>
    <w:rsid w:val="00924AB6"/>
    <w:rsid w:val="00925527"/>
    <w:rsid w:val="00926EE4"/>
    <w:rsid w:val="00930B51"/>
    <w:rsid w:val="00931B8C"/>
    <w:rsid w:val="00934ABD"/>
    <w:rsid w:val="009508F8"/>
    <w:rsid w:val="00954E5B"/>
    <w:rsid w:val="009560CF"/>
    <w:rsid w:val="00956660"/>
    <w:rsid w:val="00960D4D"/>
    <w:rsid w:val="00960F95"/>
    <w:rsid w:val="00962366"/>
    <w:rsid w:val="00967C7A"/>
    <w:rsid w:val="00973ED9"/>
    <w:rsid w:val="00974146"/>
    <w:rsid w:val="009749EA"/>
    <w:rsid w:val="00975980"/>
    <w:rsid w:val="00975C9D"/>
    <w:rsid w:val="009767E0"/>
    <w:rsid w:val="00977994"/>
    <w:rsid w:val="00982430"/>
    <w:rsid w:val="009902C2"/>
    <w:rsid w:val="0099674C"/>
    <w:rsid w:val="009A1125"/>
    <w:rsid w:val="009A1F77"/>
    <w:rsid w:val="009A294E"/>
    <w:rsid w:val="009A5F25"/>
    <w:rsid w:val="009A6C1A"/>
    <w:rsid w:val="009A75FF"/>
    <w:rsid w:val="009C3487"/>
    <w:rsid w:val="009D191F"/>
    <w:rsid w:val="009D6FF5"/>
    <w:rsid w:val="009D71EC"/>
    <w:rsid w:val="009E0DAA"/>
    <w:rsid w:val="009E341B"/>
    <w:rsid w:val="009E46E0"/>
    <w:rsid w:val="009E5569"/>
    <w:rsid w:val="009E71E6"/>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073F"/>
    <w:rsid w:val="00A33412"/>
    <w:rsid w:val="00A35415"/>
    <w:rsid w:val="00A37070"/>
    <w:rsid w:val="00A40420"/>
    <w:rsid w:val="00A4195C"/>
    <w:rsid w:val="00A41D0C"/>
    <w:rsid w:val="00A41D1A"/>
    <w:rsid w:val="00A46005"/>
    <w:rsid w:val="00A46492"/>
    <w:rsid w:val="00A46A8E"/>
    <w:rsid w:val="00A4791B"/>
    <w:rsid w:val="00A52391"/>
    <w:rsid w:val="00A54904"/>
    <w:rsid w:val="00A62BDC"/>
    <w:rsid w:val="00A62C79"/>
    <w:rsid w:val="00A6408D"/>
    <w:rsid w:val="00A67700"/>
    <w:rsid w:val="00A74A7A"/>
    <w:rsid w:val="00A81B36"/>
    <w:rsid w:val="00A828E7"/>
    <w:rsid w:val="00A84F7B"/>
    <w:rsid w:val="00A86C5B"/>
    <w:rsid w:val="00A86D03"/>
    <w:rsid w:val="00A94667"/>
    <w:rsid w:val="00A94BC1"/>
    <w:rsid w:val="00A959E5"/>
    <w:rsid w:val="00A95A8D"/>
    <w:rsid w:val="00AA1DD1"/>
    <w:rsid w:val="00AA24A3"/>
    <w:rsid w:val="00AA3F66"/>
    <w:rsid w:val="00AA569F"/>
    <w:rsid w:val="00AB27C5"/>
    <w:rsid w:val="00AB2C35"/>
    <w:rsid w:val="00AB432A"/>
    <w:rsid w:val="00AB6E7A"/>
    <w:rsid w:val="00AB7007"/>
    <w:rsid w:val="00AC06F2"/>
    <w:rsid w:val="00AC135F"/>
    <w:rsid w:val="00AC27F5"/>
    <w:rsid w:val="00AD08DA"/>
    <w:rsid w:val="00AD0BFF"/>
    <w:rsid w:val="00AD5A3D"/>
    <w:rsid w:val="00AD6C93"/>
    <w:rsid w:val="00AF1135"/>
    <w:rsid w:val="00AF3526"/>
    <w:rsid w:val="00AF47FC"/>
    <w:rsid w:val="00B00F3B"/>
    <w:rsid w:val="00B03084"/>
    <w:rsid w:val="00B06799"/>
    <w:rsid w:val="00B07BF0"/>
    <w:rsid w:val="00B12675"/>
    <w:rsid w:val="00B1392B"/>
    <w:rsid w:val="00B3027E"/>
    <w:rsid w:val="00B44133"/>
    <w:rsid w:val="00B50E29"/>
    <w:rsid w:val="00B52B9D"/>
    <w:rsid w:val="00B53C56"/>
    <w:rsid w:val="00B5402F"/>
    <w:rsid w:val="00B542EF"/>
    <w:rsid w:val="00B553DE"/>
    <w:rsid w:val="00B565A1"/>
    <w:rsid w:val="00B60EC1"/>
    <w:rsid w:val="00B627FA"/>
    <w:rsid w:val="00B63BC3"/>
    <w:rsid w:val="00B65124"/>
    <w:rsid w:val="00B67D56"/>
    <w:rsid w:val="00B71205"/>
    <w:rsid w:val="00B74853"/>
    <w:rsid w:val="00B91E41"/>
    <w:rsid w:val="00B92DBA"/>
    <w:rsid w:val="00BB5868"/>
    <w:rsid w:val="00BB5DD3"/>
    <w:rsid w:val="00BB6182"/>
    <w:rsid w:val="00BB7CD0"/>
    <w:rsid w:val="00BC0E49"/>
    <w:rsid w:val="00BC12BD"/>
    <w:rsid w:val="00BC130B"/>
    <w:rsid w:val="00BC1389"/>
    <w:rsid w:val="00BC2FB5"/>
    <w:rsid w:val="00BC3163"/>
    <w:rsid w:val="00BC47EE"/>
    <w:rsid w:val="00BC5959"/>
    <w:rsid w:val="00BD1490"/>
    <w:rsid w:val="00BD24BB"/>
    <w:rsid w:val="00BD289B"/>
    <w:rsid w:val="00BE1363"/>
    <w:rsid w:val="00BE2692"/>
    <w:rsid w:val="00BE3A6A"/>
    <w:rsid w:val="00BE6DE4"/>
    <w:rsid w:val="00BF5C63"/>
    <w:rsid w:val="00C0130F"/>
    <w:rsid w:val="00C01BD1"/>
    <w:rsid w:val="00C0386B"/>
    <w:rsid w:val="00C03C2A"/>
    <w:rsid w:val="00C05B28"/>
    <w:rsid w:val="00C10215"/>
    <w:rsid w:val="00C14C2C"/>
    <w:rsid w:val="00C234B8"/>
    <w:rsid w:val="00C24B1B"/>
    <w:rsid w:val="00C26F17"/>
    <w:rsid w:val="00C3149D"/>
    <w:rsid w:val="00C4102B"/>
    <w:rsid w:val="00C411DC"/>
    <w:rsid w:val="00C41627"/>
    <w:rsid w:val="00C4458D"/>
    <w:rsid w:val="00C47676"/>
    <w:rsid w:val="00C63C63"/>
    <w:rsid w:val="00C63DE5"/>
    <w:rsid w:val="00C67C98"/>
    <w:rsid w:val="00C72A51"/>
    <w:rsid w:val="00C77B7C"/>
    <w:rsid w:val="00C85CF8"/>
    <w:rsid w:val="00C8621B"/>
    <w:rsid w:val="00C94E6D"/>
    <w:rsid w:val="00C95ABD"/>
    <w:rsid w:val="00CA1E33"/>
    <w:rsid w:val="00CA3931"/>
    <w:rsid w:val="00CA4168"/>
    <w:rsid w:val="00CA5E36"/>
    <w:rsid w:val="00CC3B1F"/>
    <w:rsid w:val="00CC5B87"/>
    <w:rsid w:val="00CC7F52"/>
    <w:rsid w:val="00CD4826"/>
    <w:rsid w:val="00CE0AE1"/>
    <w:rsid w:val="00CE0D8A"/>
    <w:rsid w:val="00CE6667"/>
    <w:rsid w:val="00CE7028"/>
    <w:rsid w:val="00CF4A0F"/>
    <w:rsid w:val="00CF77B8"/>
    <w:rsid w:val="00CF7BE8"/>
    <w:rsid w:val="00D041BB"/>
    <w:rsid w:val="00D0743E"/>
    <w:rsid w:val="00D118BB"/>
    <w:rsid w:val="00D14D5C"/>
    <w:rsid w:val="00D21B01"/>
    <w:rsid w:val="00D24640"/>
    <w:rsid w:val="00D44309"/>
    <w:rsid w:val="00D45823"/>
    <w:rsid w:val="00D4582E"/>
    <w:rsid w:val="00D50F79"/>
    <w:rsid w:val="00D52385"/>
    <w:rsid w:val="00D60129"/>
    <w:rsid w:val="00D61E44"/>
    <w:rsid w:val="00D718BA"/>
    <w:rsid w:val="00D85B92"/>
    <w:rsid w:val="00D86663"/>
    <w:rsid w:val="00D900DA"/>
    <w:rsid w:val="00D905CA"/>
    <w:rsid w:val="00DA2D83"/>
    <w:rsid w:val="00DA4ABD"/>
    <w:rsid w:val="00DA5470"/>
    <w:rsid w:val="00DA6950"/>
    <w:rsid w:val="00DB0CA7"/>
    <w:rsid w:val="00DB1A2F"/>
    <w:rsid w:val="00DB2924"/>
    <w:rsid w:val="00DB3947"/>
    <w:rsid w:val="00DB402C"/>
    <w:rsid w:val="00DB41A5"/>
    <w:rsid w:val="00DB65D8"/>
    <w:rsid w:val="00DC4083"/>
    <w:rsid w:val="00DC6DF7"/>
    <w:rsid w:val="00DD7FA1"/>
    <w:rsid w:val="00DE0608"/>
    <w:rsid w:val="00DE1F22"/>
    <w:rsid w:val="00DE4E9C"/>
    <w:rsid w:val="00DE73CE"/>
    <w:rsid w:val="00DF1002"/>
    <w:rsid w:val="00DF4F50"/>
    <w:rsid w:val="00E06939"/>
    <w:rsid w:val="00E22885"/>
    <w:rsid w:val="00E23C94"/>
    <w:rsid w:val="00E2686F"/>
    <w:rsid w:val="00E27E44"/>
    <w:rsid w:val="00E33781"/>
    <w:rsid w:val="00E43304"/>
    <w:rsid w:val="00E45B47"/>
    <w:rsid w:val="00E469BB"/>
    <w:rsid w:val="00E47914"/>
    <w:rsid w:val="00E533CC"/>
    <w:rsid w:val="00E54C86"/>
    <w:rsid w:val="00E66949"/>
    <w:rsid w:val="00E8194C"/>
    <w:rsid w:val="00E83C96"/>
    <w:rsid w:val="00E840EC"/>
    <w:rsid w:val="00E869D7"/>
    <w:rsid w:val="00E907CA"/>
    <w:rsid w:val="00E91762"/>
    <w:rsid w:val="00E95FC5"/>
    <w:rsid w:val="00EA0917"/>
    <w:rsid w:val="00EA20DA"/>
    <w:rsid w:val="00EA3614"/>
    <w:rsid w:val="00EA66BB"/>
    <w:rsid w:val="00EB39C4"/>
    <w:rsid w:val="00EB411E"/>
    <w:rsid w:val="00EC2085"/>
    <w:rsid w:val="00EC2AF0"/>
    <w:rsid w:val="00ED03F8"/>
    <w:rsid w:val="00EE023A"/>
    <w:rsid w:val="00F03877"/>
    <w:rsid w:val="00F1065E"/>
    <w:rsid w:val="00F161E5"/>
    <w:rsid w:val="00F22DD9"/>
    <w:rsid w:val="00F26ECC"/>
    <w:rsid w:val="00F32798"/>
    <w:rsid w:val="00F44EF3"/>
    <w:rsid w:val="00F46D9C"/>
    <w:rsid w:val="00F55220"/>
    <w:rsid w:val="00F66DB4"/>
    <w:rsid w:val="00F67DF7"/>
    <w:rsid w:val="00F71DD4"/>
    <w:rsid w:val="00F72F87"/>
    <w:rsid w:val="00F769BF"/>
    <w:rsid w:val="00F771FC"/>
    <w:rsid w:val="00F858FF"/>
    <w:rsid w:val="00F90099"/>
    <w:rsid w:val="00F94CA9"/>
    <w:rsid w:val="00F965C1"/>
    <w:rsid w:val="00F96D4A"/>
    <w:rsid w:val="00FA5744"/>
    <w:rsid w:val="00FA759F"/>
    <w:rsid w:val="00FB0AA7"/>
    <w:rsid w:val="00FB72E8"/>
    <w:rsid w:val="00FC22A5"/>
    <w:rsid w:val="00FC36A0"/>
    <w:rsid w:val="00FC40BB"/>
    <w:rsid w:val="00FC484E"/>
    <w:rsid w:val="00FD1614"/>
    <w:rsid w:val="00FE0F69"/>
    <w:rsid w:val="00FE7D5A"/>
    <w:rsid w:val="00FF734E"/>
    <w:rsid w:val="00FF7646"/>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 w:type="table" w:customStyle="1" w:styleId="TableNormal">
    <w:name w:val="Table Normal"/>
    <w:uiPriority w:val="2"/>
    <w:semiHidden/>
    <w:unhideWhenUsed/>
    <w:qFormat/>
    <w:rsid w:val="00D041B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041BB"/>
    <w:pPr>
      <w:widowControl w:val="0"/>
      <w:autoSpaceDE w:val="0"/>
      <w:autoSpaceDN w:val="0"/>
      <w:spacing w:after="0" w:line="240" w:lineRule="auto"/>
    </w:pPr>
    <w:rPr>
      <w:rFonts w:ascii="TeXGyrePagella" w:eastAsia="TeXGyrePagella" w:hAnsi="TeXGyrePagella" w:cs="TeXGyrePagella"/>
      <w:sz w:val="20"/>
      <w:szCs w:val="20"/>
      <w:lang w:val="es-ES"/>
    </w:rPr>
  </w:style>
  <w:style w:type="character" w:customStyle="1" w:styleId="TextoindependienteCar">
    <w:name w:val="Texto independiente Car"/>
    <w:basedOn w:val="Fuentedeprrafopredeter"/>
    <w:link w:val="Textoindependiente"/>
    <w:uiPriority w:val="1"/>
    <w:rsid w:val="00D041BB"/>
    <w:rPr>
      <w:rFonts w:ascii="TeXGyrePagella" w:eastAsia="TeXGyrePagella" w:hAnsi="TeXGyrePagella" w:cs="TeXGyrePagella"/>
      <w:sz w:val="20"/>
      <w:szCs w:val="20"/>
      <w:lang w:val="es-ES"/>
    </w:rPr>
  </w:style>
  <w:style w:type="paragraph" w:customStyle="1" w:styleId="TableParagraph">
    <w:name w:val="Table Paragraph"/>
    <w:basedOn w:val="Normal"/>
    <w:uiPriority w:val="1"/>
    <w:qFormat/>
    <w:rsid w:val="00D041BB"/>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FC023-A9C6-4F81-9EDA-797AA0BE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1276</Words>
  <Characters>7019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mcruz</cp:lastModifiedBy>
  <cp:revision>35</cp:revision>
  <cp:lastPrinted>2021-05-18T16:26:00Z</cp:lastPrinted>
  <dcterms:created xsi:type="dcterms:W3CDTF">2021-04-28T18:50:00Z</dcterms:created>
  <dcterms:modified xsi:type="dcterms:W3CDTF">2022-03-17T12:41:00Z</dcterms:modified>
</cp:coreProperties>
</file>